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电泳废气改造项目</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rPr>
          <w:rFonts w:hint="eastAsia"/>
          <w:lang w:eastAsia="zh-CN"/>
        </w:rPr>
      </w:pP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bookmarkStart w:id="4" w:name="OLE_LINK2"/>
            <w:r>
              <w:rPr>
                <w:rFonts w:hint="eastAsia" w:ascii="宋体" w:hAnsi="宋体" w:eastAsia="宋体" w:cs="宋体"/>
                <w:sz w:val="24"/>
                <w:szCs w:val="24"/>
                <w:highlight w:val="none"/>
                <w:u w:val="single"/>
                <w:lang w:val="en-US" w:eastAsia="zh-CN"/>
              </w:rPr>
              <w:t>济南商用车公司</w:t>
            </w:r>
            <w:bookmarkEnd w:id="4"/>
            <w:r>
              <w:rPr>
                <w:rFonts w:hint="eastAsia" w:ascii="宋体" w:hAnsi="宋体" w:eastAsia="宋体" w:cs="宋体"/>
                <w:sz w:val="24"/>
                <w:szCs w:val="24"/>
                <w:highlight w:val="none"/>
                <w:u w:val="single"/>
                <w:lang w:val="en-US" w:eastAsia="zh-CN"/>
              </w:rPr>
              <w:t>电泳废气改造项目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CGZX2024090107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电泳废气改造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rPr>
              <w:t>李月兵</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17860602093</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4"/>
                <w:rFonts w:hint="eastAsia" w:ascii="宋体" w:hAnsi="宋体" w:eastAsia="宋体" w:cs="宋体"/>
                <w:bCs/>
                <w:snapToGrid w:val="0"/>
                <w:color w:val="auto"/>
                <w:kern w:val="0"/>
                <w:sz w:val="24"/>
                <w:szCs w:val="24"/>
              </w:rPr>
              <w:t>liyuebing@sinotruk.com</w:t>
            </w:r>
            <w:r>
              <w:rPr>
                <w:rStyle w:val="44"/>
                <w:rFonts w:hint="eastAsia" w:ascii="宋体" w:hAnsi="宋体" w:eastAsia="宋体" w:cs="宋体"/>
                <w:bCs/>
                <w:snapToGrid w:val="0"/>
                <w:color w:val="auto"/>
                <w:kern w:val="0"/>
                <w:sz w:val="24"/>
                <w:szCs w:val="24"/>
              </w:rPr>
              <w:fldChar w:fldCharType="end"/>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张雨</w:t>
            </w:r>
          </w:p>
          <w:p>
            <w:pPr>
              <w:pStyle w:val="17"/>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19861850332</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hAnsi="宋体" w:eastAsia="宋体" w:cs="宋体"/>
                <w:bCs/>
                <w:snapToGrid w:val="0"/>
                <w:kern w:val="0"/>
                <w:sz w:val="24"/>
                <w:szCs w:val="24"/>
                <w:highlight w:val="yellow"/>
                <w:lang w:val="en-US" w:eastAsia="zh-CN"/>
              </w:rPr>
              <w:t>zhangyu4@sinotruk.com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28.5</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2020年1月1日至今</w:t>
            </w:r>
            <w:r>
              <w:rPr>
                <w:rFonts w:hint="eastAsia" w:hAnsi="宋体" w:eastAsia="宋体" w:cs="宋体"/>
                <w:color w:val="000000"/>
                <w:sz w:val="24"/>
                <w:szCs w:val="24"/>
              </w:rPr>
              <w:t>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20</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24</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25</w:t>
            </w:r>
            <w:r>
              <w:rPr>
                <w:rFonts w:hint="eastAsia" w:eastAsia="宋体" w:cs="宋体"/>
                <w:highlight w:val="yellow"/>
              </w:rPr>
              <w:t>日</w:t>
            </w:r>
            <w:r>
              <w:rPr>
                <w:rFonts w:hint="eastAsia" w:eastAsia="宋体" w:cs="宋体"/>
                <w:highlight w:val="yellow"/>
                <w:lang w:val="en-US" w:eastAsia="zh-CN"/>
              </w:rPr>
              <w:t>12时00分00秒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rPr>
              <w:t>李月兵</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rPr>
              <w:t>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29</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25</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w:t>
            </w:r>
            <w:bookmarkStart w:id="133" w:name="_GoBack"/>
            <w:bookmarkEnd w:id="133"/>
            <w:r>
              <w:rPr>
                <w:rFonts w:hint="eastAsia" w:ascii="宋体" w:hAnsi="宋体" w:cs="宋体"/>
                <w:sz w:val="24"/>
                <w:szCs w:val="24"/>
                <w:highlight w:val="yellow"/>
                <w:lang w:val="en-US" w:eastAsia="zh-CN"/>
              </w:rPr>
              <w:t>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1.自合同签定生效之日起，</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2.接续30个日历日之内安装调试完毕。</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3.接续30个日历日之内完成终验收。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rPr>
              <w:t>济南市高新区华奥路777号重汽科技中心园区</w:t>
            </w: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或者济南地区其他试验室</w:t>
            </w:r>
            <w:r>
              <w:rPr>
                <w:rFonts w:hint="eastAsia" w:hAnsi="宋体" w:eastAsia="宋体" w:cs="宋体"/>
                <w:color w:val="000000"/>
                <w:sz w:val="24"/>
                <w:szCs w:val="24"/>
                <w:lang w:eastAsia="zh-CN"/>
              </w:rPr>
              <w:t>）</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5"/>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pStyle w:val="35"/>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合同生效设备全部到齐无质量问题通过买方初步验收并到货后，卖方开具金额为该合同设备价格60%的增值税专用发票带60%的收据（含复印件二份），经买方依照财务制度审核无误后支付合同价款的60%。</w:t>
            </w:r>
          </w:p>
          <w:p>
            <w:pPr>
              <w:pStyle w:val="35"/>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设备全部到齐，经现场安装、调试、验收合格交付使用后，卖方提交金额为合同价款30%的收据并附带下列单据，经买方依照财务制度审核无误后支付合同价款的30%。</w:t>
            </w:r>
          </w:p>
          <w:p>
            <w:pPr>
              <w:pStyle w:val="35"/>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a.金额为该合同设备价格40%的增值税专用发票（含复印件二份），具体开票信息详见发票信息表，根据表中所列分别开具增值税发票。</w:t>
            </w:r>
          </w:p>
          <w:p>
            <w:pPr>
              <w:pStyle w:val="35"/>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pPr>
              <w:pStyle w:val="35"/>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名称：</w:t>
            </w:r>
            <w:r>
              <w:rPr>
                <w:rFonts w:hint="eastAsia" w:ascii="宋体" w:hAnsi="宋体" w:eastAsia="宋体" w:cs="宋体"/>
                <w:color w:val="000000"/>
                <w:sz w:val="24"/>
                <w:szCs w:val="24"/>
                <w:highlight w:val="yellow"/>
                <w:lang w:eastAsia="zh-CN"/>
              </w:rPr>
              <w:t>中国重汽集团济南商用车有限公司</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5"/>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66914"/>
      <w:bookmarkStart w:id="8" w:name="_Toc33265752"/>
      <w:bookmarkStart w:id="9" w:name="_Toc33267001"/>
      <w:bookmarkStart w:id="10" w:name="_Toc33285487"/>
      <w:bookmarkStart w:id="11" w:name="_Toc33266627"/>
      <w:bookmarkStart w:id="12" w:name="_Toc33266950"/>
      <w:bookmarkStart w:id="13" w:name="_Toc33265653"/>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5" w:name="_Toc33266951"/>
      <w:bookmarkStart w:id="16" w:name="_Toc33266915"/>
      <w:bookmarkStart w:id="17" w:name="_Toc33267002"/>
      <w:bookmarkStart w:id="18" w:name="_Toc33265753"/>
      <w:bookmarkStart w:id="19" w:name="_Toc33266628"/>
      <w:bookmarkStart w:id="20" w:name="_Toc33265654"/>
      <w:bookmarkStart w:id="21" w:name="_Toc395116634"/>
      <w:bookmarkStart w:id="22"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6"/>
      <w:bookmarkStart w:id="24" w:name="OLE_LINK27"/>
      <w:bookmarkStart w:id="25" w:name="OLE_LINK25"/>
      <w:bookmarkStart w:id="26" w:name="OLE_LINK29"/>
      <w:bookmarkStart w:id="27" w:name="OLE_LINK28"/>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第四部分 技术标书</w:t>
      </w:r>
      <w:bookmarkEnd w:id="33"/>
    </w:p>
    <w:p>
      <w:pPr>
        <w:pStyle w:val="17"/>
      </w:pPr>
    </w:p>
    <w:p>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电泳废气改造</w:t>
      </w: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2024</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09</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headerReference r:id="rId12" w:type="default"/>
          <w:footerReference r:id="rId13"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4"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4"/>
    </w:p>
    <w:p>
      <w:pPr>
        <w:keepNext/>
        <w:keepLines/>
        <w:spacing w:before="120" w:after="120" w:line="480" w:lineRule="exact"/>
        <w:jc w:val="center"/>
        <w:outlineLvl w:val="2"/>
        <w:rPr>
          <w:rFonts w:ascii="Arial" w:hAnsi="Arial" w:eastAsia="宋体" w:cs="Times New Roman"/>
          <w:b/>
          <w:bCs/>
          <w:sz w:val="24"/>
          <w:szCs w:val="24"/>
        </w:rPr>
      </w:pPr>
      <w:bookmarkStart w:id="35"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5"/>
    </w:p>
    <w:p>
      <w:pPr>
        <w:spacing w:line="360" w:lineRule="auto"/>
        <w:outlineLvl w:val="3"/>
        <w:rPr>
          <w:rFonts w:ascii="宋体" w:hAnsi="宋体" w:eastAsia="宋体" w:cs="宋体"/>
          <w:sz w:val="24"/>
          <w:szCs w:val="24"/>
          <w:highlight w:val="none"/>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济南商用车公司电泳废气改造</w:t>
      </w:r>
      <w:r>
        <w:rPr>
          <w:rFonts w:hint="eastAsia" w:ascii="宋体" w:hAnsi="宋体" w:eastAsia="宋体" w:cs="宋体"/>
          <w:color w:val="000000"/>
          <w:sz w:val="24"/>
          <w:szCs w:val="24"/>
          <w:highlight w:val="none"/>
          <w:u w:val="single"/>
        </w:rPr>
        <w:t>招标项目</w:t>
      </w:r>
    </w:p>
    <w:p>
      <w:pPr>
        <w:spacing w:line="420" w:lineRule="exact"/>
        <w:rPr>
          <w:rFonts w:hint="eastAsia" w:ascii="宋体" w:eastAsia="宋体"/>
          <w:sz w:val="24"/>
          <w:szCs w:val="24"/>
          <w:u w:val="single"/>
          <w:shd w:val="pct10" w:color="auto" w:fill="FFFFFF"/>
          <w:lang w:val="en-US" w:eastAsia="zh-CN"/>
        </w:rPr>
      </w:pPr>
      <w:r>
        <w:rPr>
          <w:rFonts w:hint="eastAsia" w:ascii="宋体" w:hAnsi="宋体" w:eastAsia="宋体" w:cs="宋体"/>
          <w:sz w:val="24"/>
          <w:szCs w:val="24"/>
          <w:highlight w:val="none"/>
        </w:rPr>
        <w:t>二、建设地点：</w:t>
      </w:r>
      <w:r>
        <w:rPr>
          <w:rFonts w:hint="eastAsia" w:ascii="宋体" w:hAnsi="宋体" w:eastAsia="宋体" w:cs="宋体"/>
          <w:color w:val="000000"/>
          <w:sz w:val="24"/>
          <w:szCs w:val="24"/>
          <w:highlight w:val="none"/>
          <w:u w:val="single"/>
        </w:rPr>
        <w:t>济南市章丘区世纪大道7777号重汽工业园</w:t>
      </w:r>
      <w:r>
        <w:rPr>
          <w:rFonts w:hint="eastAsia" w:ascii="宋体" w:hAnsi="宋体" w:eastAsia="宋体" w:cs="宋体"/>
          <w:color w:val="000000"/>
          <w:sz w:val="24"/>
          <w:szCs w:val="24"/>
          <w:highlight w:val="none"/>
          <w:u w:val="single"/>
          <w:lang w:val="en-US" w:eastAsia="zh-CN"/>
        </w:rPr>
        <w:t>商用车车架部电泳车间</w:t>
      </w:r>
    </w:p>
    <w:p>
      <w:pPr>
        <w:spacing w:line="420" w:lineRule="exact"/>
        <w:rPr>
          <w:rFonts w:hint="default" w:ascii="宋体" w:eastAsia="宋体"/>
          <w:sz w:val="24"/>
          <w:szCs w:val="24"/>
          <w:u w:val="single"/>
          <w:shd w:val="pct10" w:color="auto" w:fill="FFFFFF"/>
          <w:lang w:val="en-US" w:eastAsia="zh-CN"/>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none"/>
          <w:u w:val="single"/>
        </w:rPr>
        <w:t>济南市章丘区世纪大道7777号重汽工业园</w:t>
      </w:r>
      <w:r>
        <w:rPr>
          <w:rFonts w:hint="eastAsia" w:ascii="宋体" w:hAnsi="宋体" w:eastAsia="宋体" w:cs="宋体"/>
          <w:color w:val="000000"/>
          <w:sz w:val="24"/>
          <w:szCs w:val="24"/>
          <w:highlight w:val="none"/>
          <w:u w:val="single"/>
          <w:lang w:val="en-US" w:eastAsia="zh-CN"/>
        </w:rPr>
        <w:t>商用车车架部电泳车间</w:t>
      </w:r>
    </w:p>
    <w:p>
      <w:pPr>
        <w:spacing w:line="360" w:lineRule="auto"/>
        <w:outlineLvl w:val="3"/>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四、工作制度：全年工作</w:t>
      </w:r>
      <w:r>
        <w:rPr>
          <w:rFonts w:hint="eastAsia" w:ascii="宋体" w:hAnsi="宋体" w:eastAsia="宋体" w:cs="宋体"/>
          <w:color w:val="auto"/>
          <w:sz w:val="24"/>
          <w:szCs w:val="24"/>
          <w:highlight w:val="none"/>
          <w:u w:val="single"/>
          <w:shd w:val="pct10" w:color="auto" w:fill="FFFFFF"/>
        </w:rPr>
        <w:t>3</w:t>
      </w:r>
      <w:r>
        <w:rPr>
          <w:rFonts w:hint="eastAsia" w:ascii="宋体" w:hAnsi="宋体" w:eastAsia="宋体" w:cs="宋体"/>
          <w:color w:val="auto"/>
          <w:sz w:val="24"/>
          <w:szCs w:val="24"/>
          <w:highlight w:val="none"/>
          <w:u w:val="single"/>
          <w:shd w:val="pct10" w:color="auto" w:fill="FFFFFF"/>
          <w:lang w:val="en-US" w:eastAsia="zh-CN"/>
        </w:rPr>
        <w:t>30</w:t>
      </w:r>
      <w:r>
        <w:rPr>
          <w:rFonts w:hint="eastAsia" w:ascii="宋体" w:hAnsi="宋体" w:eastAsia="宋体" w:cs="宋体"/>
          <w:color w:val="auto"/>
          <w:sz w:val="24"/>
          <w:szCs w:val="24"/>
          <w:highlight w:val="none"/>
        </w:rPr>
        <w:t>天</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5500</w:t>
      </w:r>
      <w:r>
        <w:rPr>
          <w:rFonts w:hint="eastAsia" w:ascii="宋体" w:hAnsi="宋体" w:eastAsia="宋体" w:cs="宋体"/>
          <w:bCs/>
          <w:sz w:val="24"/>
          <w:szCs w:val="24"/>
        </w:rPr>
        <w:t>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w:t>
      </w:r>
      <w:r>
        <w:rPr>
          <w:rFonts w:hint="eastAsia" w:ascii="宋体" w:hAnsi="宋体" w:eastAsia="宋体" w:cs="宋体"/>
          <w:bCs/>
          <w:sz w:val="24"/>
          <w:szCs w:val="24"/>
          <w:highlight w:val="none"/>
        </w:rPr>
        <w:t>度</w:t>
      </w:r>
      <w:r>
        <w:rPr>
          <w:rFonts w:hint="eastAsia" w:ascii="宋体" w:hAnsi="宋体" w:eastAsia="宋体" w:cs="宋体"/>
          <w:bCs/>
          <w:sz w:val="24"/>
          <w:szCs w:val="24"/>
          <w:highlight w:val="none"/>
          <w:lang w:val="en-US" w:eastAsia="zh-CN"/>
        </w:rPr>
        <w:t>7</w:t>
      </w:r>
      <w:r>
        <w:rPr>
          <w:rFonts w:ascii="宋体" w:hAnsi="宋体" w:eastAsia="宋体" w:cs="宋体"/>
          <w:bCs/>
          <w:sz w:val="24"/>
          <w:szCs w:val="24"/>
          <w:highlight w:val="none"/>
        </w:rPr>
        <w:t>0</w:t>
      </w:r>
      <w:r>
        <w:rPr>
          <w:rFonts w:hint="eastAsia" w:ascii="宋体" w:hAnsi="宋体" w:eastAsia="宋体" w:cs="宋体"/>
          <w:bCs/>
          <w:sz w:val="24"/>
          <w:szCs w:val="24"/>
          <w:highlight w:val="none"/>
        </w:rPr>
        <w:t>℃。</w:t>
      </w:r>
    </w:p>
    <w:p>
      <w:pPr>
        <w:spacing w:line="360" w:lineRule="auto"/>
        <w:ind w:firstLine="480" w:firstLineChars="200"/>
        <w:rPr>
          <w:rFonts w:hAnsi="宋体" w:eastAsia="宋体" w:cs="宋体"/>
        </w:rPr>
      </w:pPr>
      <w:r>
        <w:rPr>
          <w:rFonts w:hint="eastAsia" w:ascii="宋体" w:hAnsi="宋体" w:eastAsia="宋体" w:cs="宋体"/>
          <w:bCs/>
          <w:sz w:val="24"/>
          <w:szCs w:val="24"/>
        </w:rPr>
        <w:t>3.相对湿度：最大95%、最小15%。</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highlight w:val="none"/>
          <w:u w:val="single"/>
          <w:lang w:val="en-US" w:eastAsia="zh-CN"/>
        </w:rPr>
        <w:t>电泳废气改造</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lang w:val="en-US" w:eastAsia="zh-CN"/>
        </w:rPr>
        <w:t>1</w:t>
      </w:r>
      <w:r>
        <w:rPr>
          <w:rFonts w:hint="eastAsia" w:ascii="宋体" w:hAnsi="宋体" w:eastAsia="宋体" w:cs="宋体"/>
          <w:sz w:val="24"/>
          <w:szCs w:val="24"/>
          <w:u w:val="single"/>
          <w:shd w:val="pct10" w:color="auto" w:fill="FFFFFF"/>
          <w:lang w:val="en-US" w:eastAsia="zh-CN"/>
        </w:rPr>
        <w:t>批</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6"/>
        <w:tblW w:w="9068" w:type="dxa"/>
        <w:tblInd w:w="-1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6"/>
        <w:gridCol w:w="2712"/>
        <w:gridCol w:w="2966"/>
        <w:gridCol w:w="1047"/>
        <w:gridCol w:w="9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356" w:type="dxa"/>
            <w:tcBorders>
              <w:top w:val="single" w:color="auto" w:sz="4" w:space="0"/>
              <w:left w:val="single" w:color="auto" w:sz="4" w:space="0"/>
              <w:bottom w:val="nil"/>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2712" w:type="dxa"/>
            <w:tcBorders>
              <w:top w:val="single" w:color="auto" w:sz="4" w:space="0"/>
              <w:left w:val="single" w:color="auto" w:sz="4" w:space="0"/>
              <w:bottom w:val="nil"/>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设备名称</w:t>
            </w:r>
          </w:p>
        </w:tc>
        <w:tc>
          <w:tcPr>
            <w:tcW w:w="2966" w:type="dxa"/>
            <w:tcBorders>
              <w:top w:val="single" w:color="auto" w:sz="4" w:space="0"/>
              <w:left w:val="nil"/>
              <w:bottom w:val="nil"/>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具体参数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（规格型号的描述）</w:t>
            </w:r>
          </w:p>
        </w:tc>
        <w:tc>
          <w:tcPr>
            <w:tcW w:w="1047" w:type="dxa"/>
            <w:tcBorders>
              <w:top w:val="single" w:color="auto" w:sz="4" w:space="0"/>
              <w:left w:val="nil"/>
              <w:bottom w:val="nil"/>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987" w:type="dxa"/>
            <w:tcBorders>
              <w:top w:val="single" w:color="auto" w:sz="4" w:space="0"/>
              <w:left w:val="nil"/>
              <w:bottom w:val="nil"/>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35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1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二级活性炭吸附箱:设计风量33000m³/h</w:t>
            </w:r>
          </w:p>
        </w:tc>
        <w:tc>
          <w:tcPr>
            <w:tcW w:w="296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活性炭：碘值≥800防水型，孔径1.5mm，CTC≥30%，填充量≥3m³/个；颗粒状</w:t>
            </w:r>
          </w:p>
        </w:tc>
        <w:tc>
          <w:tcPr>
            <w:tcW w:w="1047"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vMerge w:val="restart"/>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6"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18"/>
                <w:szCs w:val="18"/>
                <w:u w:val="none"/>
              </w:rPr>
            </w:pPr>
          </w:p>
        </w:tc>
        <w:tc>
          <w:tcPr>
            <w:tcW w:w="2712"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18"/>
                <w:szCs w:val="18"/>
                <w:u w:val="none"/>
              </w:rPr>
            </w:pP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含2个数显压差表加泄爆片。</w:t>
            </w:r>
          </w:p>
        </w:tc>
        <w:tc>
          <w:tcPr>
            <w:tcW w:w="104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i w:val="0"/>
                <w:iCs w:val="0"/>
                <w:color w:val="000000"/>
                <w:sz w:val="18"/>
                <w:szCs w:val="18"/>
                <w:u w:val="none"/>
              </w:rPr>
            </w:pPr>
          </w:p>
        </w:tc>
        <w:tc>
          <w:tcPr>
            <w:tcW w:w="987" w:type="dxa"/>
            <w:vMerge w:val="continue"/>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风机</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能源1级，防爆变频，风量30000Nm³/h</w:t>
            </w:r>
          </w:p>
        </w:tc>
        <w:tc>
          <w:tcPr>
            <w:tcW w:w="104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镀锌螺旋管道</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直径1000，处理前后取样口</w:t>
            </w:r>
          </w:p>
        </w:tc>
        <w:tc>
          <w:tcPr>
            <w:tcW w:w="104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碳钢管道</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直径500，</w:t>
            </w:r>
          </w:p>
        </w:tc>
        <w:tc>
          <w:tcPr>
            <w:tcW w:w="104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控制柜</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PLC采用西门子，电器元件施耐德，</w:t>
            </w:r>
          </w:p>
        </w:tc>
        <w:tc>
          <w:tcPr>
            <w:tcW w:w="104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桥架，线缆</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镀锌桥架</w:t>
            </w:r>
          </w:p>
        </w:tc>
        <w:tc>
          <w:tcPr>
            <w:tcW w:w="1047"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平台及爬梯建设</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平台，护栏，采样平台</w:t>
            </w:r>
          </w:p>
        </w:tc>
        <w:tc>
          <w:tcPr>
            <w:tcW w:w="1047"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27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委托第三方检测比对</w:t>
            </w:r>
          </w:p>
        </w:tc>
        <w:tc>
          <w:tcPr>
            <w:tcW w:w="29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三方检测废气报告</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27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二级活性炭箱及主风机（含控制柜）搬迁危废库安装</w:t>
            </w:r>
          </w:p>
        </w:tc>
        <w:tc>
          <w:tcPr>
            <w:tcW w:w="29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bl>
    <w:p>
      <w:pPr>
        <w:jc w:val="center"/>
        <w:rPr>
          <w:rFonts w:hint="eastAsia" w:ascii="宋体" w:hAnsi="宋体" w:eastAsia="宋体" w:cs="宋体"/>
          <w:sz w:val="24"/>
          <w:szCs w:val="24"/>
        </w:rPr>
      </w:pP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17"/>
        <w:jc w:val="center"/>
        <w:rPr>
          <w:rFonts w:hAnsi="宋体" w:eastAsia="宋体" w:cs="宋体"/>
          <w:bCs/>
          <w:sz w:val="24"/>
          <w:szCs w:val="24"/>
          <w:highlight w:val="none"/>
        </w:rPr>
      </w:pPr>
      <w:r>
        <w:rPr>
          <w:rFonts w:hint="eastAsia" w:ascii="宋体" w:hAnsi="宋体" w:eastAsia="宋体" w:cs="宋体"/>
          <w:color w:val="000000"/>
          <w:sz w:val="24"/>
          <w:szCs w:val="24"/>
          <w:highlight w:val="none"/>
        </w:rPr>
        <w:t>*</w:t>
      </w:r>
      <w:r>
        <w:rPr>
          <w:rFonts w:hint="eastAsia" w:hAnsi="宋体" w:eastAsia="宋体" w:cs="宋体"/>
          <w:bCs/>
          <w:sz w:val="24"/>
          <w:szCs w:val="24"/>
          <w:highlight w:val="none"/>
        </w:rPr>
        <w:t>主要器件品牌表</w:t>
      </w:r>
      <w:r>
        <w:rPr>
          <w:rFonts w:hint="eastAsia" w:hAnsi="宋体" w:eastAsia="宋体" w:cs="宋体"/>
          <w:bCs/>
          <w:sz w:val="24"/>
          <w:szCs w:val="24"/>
          <w:highlight w:val="yellow"/>
        </w:rPr>
        <w:t>（可选同等或更优质量品牌）</w:t>
      </w:r>
    </w:p>
    <w:tbl>
      <w:tblPr>
        <w:tblStyle w:val="37"/>
        <w:tblW w:w="8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223"/>
        <w:gridCol w:w="5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spacing w:line="420" w:lineRule="exact"/>
              <w:jc w:val="center"/>
              <w:rPr>
                <w:color w:val="auto"/>
                <w:szCs w:val="21"/>
              </w:rPr>
            </w:pPr>
            <w:r>
              <w:rPr>
                <w:color w:val="auto"/>
                <w:kern w:val="0"/>
                <w:szCs w:val="21"/>
              </w:rPr>
              <w:t>序号</w:t>
            </w:r>
          </w:p>
        </w:tc>
        <w:tc>
          <w:tcPr>
            <w:tcW w:w="2223" w:type="dxa"/>
            <w:vAlign w:val="center"/>
          </w:tcPr>
          <w:p>
            <w:pPr>
              <w:spacing w:line="420" w:lineRule="exact"/>
              <w:jc w:val="center"/>
              <w:rPr>
                <w:color w:val="auto"/>
                <w:szCs w:val="21"/>
              </w:rPr>
            </w:pPr>
            <w:r>
              <w:rPr>
                <w:color w:val="auto"/>
                <w:kern w:val="0"/>
                <w:szCs w:val="21"/>
              </w:rPr>
              <w:t>器件名称</w:t>
            </w:r>
          </w:p>
        </w:tc>
        <w:tc>
          <w:tcPr>
            <w:tcW w:w="5335" w:type="dxa"/>
            <w:vAlign w:val="center"/>
          </w:tcPr>
          <w:p>
            <w:pPr>
              <w:spacing w:line="420" w:lineRule="exact"/>
              <w:jc w:val="center"/>
              <w:rPr>
                <w:color w:val="auto"/>
                <w:szCs w:val="21"/>
              </w:rPr>
            </w:pPr>
            <w:r>
              <w:rPr>
                <w:color w:val="auto"/>
                <w:kern w:val="0"/>
                <w:szCs w:val="21"/>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spacing w:line="420" w:lineRule="exact"/>
              <w:jc w:val="center"/>
              <w:rPr>
                <w:rFonts w:hint="default"/>
                <w:color w:val="auto"/>
                <w:szCs w:val="21"/>
                <w:lang w:val="en-US" w:eastAsia="zh-CN"/>
              </w:rPr>
            </w:pPr>
            <w:r>
              <w:rPr>
                <w:rFonts w:hint="eastAsia"/>
                <w:color w:val="auto"/>
                <w:szCs w:val="21"/>
                <w:lang w:val="en-US" w:eastAsia="zh-CN"/>
              </w:rPr>
              <w:t>1</w:t>
            </w:r>
          </w:p>
        </w:tc>
        <w:tc>
          <w:tcPr>
            <w:tcW w:w="2223"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Plc</w:t>
            </w:r>
          </w:p>
        </w:tc>
        <w:tc>
          <w:tcPr>
            <w:tcW w:w="533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spacing w:line="420" w:lineRule="exact"/>
              <w:jc w:val="center"/>
              <w:rPr>
                <w:rFonts w:hint="default"/>
                <w:color w:val="auto"/>
                <w:szCs w:val="21"/>
                <w:lang w:val="en-US" w:eastAsia="zh-CN"/>
              </w:rPr>
            </w:pPr>
            <w:r>
              <w:rPr>
                <w:rFonts w:hint="eastAsia"/>
                <w:color w:val="auto"/>
                <w:szCs w:val="21"/>
                <w:lang w:val="en-US" w:eastAsia="zh-CN"/>
              </w:rPr>
              <w:t>2</w:t>
            </w:r>
          </w:p>
        </w:tc>
        <w:tc>
          <w:tcPr>
            <w:tcW w:w="2223"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空开、继电器等低压电器</w:t>
            </w:r>
          </w:p>
        </w:tc>
        <w:tc>
          <w:tcPr>
            <w:tcW w:w="5335"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施耐德等国际一线品牌</w:t>
            </w:r>
          </w:p>
        </w:tc>
      </w:tr>
    </w:tbl>
    <w:p>
      <w:pPr>
        <w:pStyle w:val="17"/>
        <w:rPr>
          <w:rFonts w:hAnsi="宋体" w:eastAsia="宋体" w:cs="宋体"/>
          <w:bCs/>
          <w:sz w:val="24"/>
          <w:szCs w:val="24"/>
          <w:highlight w:val="red"/>
        </w:rPr>
      </w:pP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6"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6"/>
    </w:p>
    <w:p>
      <w:pPr>
        <w:pStyle w:val="113"/>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3"/>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7</w:t>
      </w:r>
      <w:r>
        <w:rPr>
          <w:rFonts w:hint="eastAsia" w:ascii="宋体" w:hAnsi="宋体" w:eastAsia="宋体" w:cs="Times New Roman"/>
          <w:sz w:val="24"/>
          <w:szCs w:val="24"/>
          <w:highlight w:val="green"/>
        </w:rPr>
        <w:t>.程序图纸要求</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7</w:t>
      </w:r>
      <w:r>
        <w:rPr>
          <w:rFonts w:hint="eastAsia" w:ascii="宋体" w:hAnsi="宋体" w:eastAsia="宋体" w:cs="Times New Roman"/>
          <w:sz w:val="24"/>
          <w:szCs w:val="24"/>
          <w:highlight w:val="green"/>
        </w:rPr>
        <w:t>.1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7</w:t>
      </w:r>
      <w:r>
        <w:rPr>
          <w:rFonts w:hint="eastAsia" w:ascii="宋体" w:hAnsi="宋体" w:eastAsia="宋体" w:cs="Times New Roman"/>
          <w:sz w:val="24"/>
          <w:szCs w:val="24"/>
          <w:highlight w:val="green"/>
        </w:rPr>
        <w:t>.2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7</w:t>
      </w:r>
      <w:r>
        <w:rPr>
          <w:rFonts w:hint="eastAsia" w:ascii="宋体" w:hAnsi="宋体" w:eastAsia="宋体" w:cs="Times New Roman"/>
          <w:sz w:val="24"/>
          <w:szCs w:val="24"/>
          <w:highlight w:val="green"/>
        </w:rPr>
        <w:t>.3 HMI 界面等需要密码保护的程序，供方必须提供所有级别的用户名、密码。</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7</w:t>
      </w:r>
      <w:r>
        <w:rPr>
          <w:rFonts w:hint="eastAsia" w:ascii="宋体" w:hAnsi="宋体" w:eastAsia="宋体" w:cs="Times New Roman"/>
          <w:sz w:val="24"/>
          <w:szCs w:val="24"/>
          <w:highlight w:val="green"/>
        </w:rPr>
        <w:t>.4 供方需在设备入场前提供设备程序源码，HMI 界面各级用户名和密码，并保证与现场程序一致。</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7</w:t>
      </w:r>
      <w:r>
        <w:rPr>
          <w:rFonts w:hint="eastAsia" w:ascii="宋体" w:hAnsi="宋体" w:eastAsia="宋体" w:cs="Times New Roman"/>
          <w:sz w:val="24"/>
          <w:szCs w:val="24"/>
          <w:highlight w:val="green"/>
        </w:rPr>
        <w:t>.5 供方需在终验收前提供最新的设备程序源码和电气图纸，图纸要求为可编辑原格式（EPLAN、CAD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Times New Roman"/>
          <w:sz w:val="24"/>
          <w:szCs w:val="24"/>
          <w:highlight w:val="green"/>
          <w:lang w:val="en-US" w:eastAsia="zh-CN"/>
        </w:rPr>
      </w:pPr>
      <w:r>
        <w:rPr>
          <w:rFonts w:hint="eastAsia" w:ascii="宋体" w:hAnsi="宋体" w:eastAsia="宋体" w:cs="Times New Roman"/>
          <w:sz w:val="24"/>
          <w:szCs w:val="24"/>
          <w:highlight w:val="green"/>
          <w:lang w:val="en-US" w:eastAsia="zh-CN"/>
        </w:rPr>
        <w:t>8.接口协议要求</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8</w:t>
      </w:r>
      <w:r>
        <w:rPr>
          <w:rFonts w:hint="eastAsia" w:ascii="宋体" w:hAnsi="宋体" w:eastAsia="宋体" w:cs="Times New Roman"/>
          <w:sz w:val="24"/>
          <w:szCs w:val="24"/>
          <w:highlight w:val="green"/>
        </w:rPr>
        <w:t>.1 供方免费开放所有通讯接口，包括但不限于以太网、</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RS232、RS485、PROFIBUS、PROFINET、MODBUS 等常见接口，以及设备特有的专用接口。</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8</w:t>
      </w:r>
      <w:r>
        <w:rPr>
          <w:rFonts w:hint="eastAsia" w:ascii="宋体" w:hAnsi="宋体" w:eastAsia="宋体" w:cs="Times New Roman"/>
          <w:sz w:val="24"/>
          <w:szCs w:val="24"/>
          <w:highlight w:val="green"/>
        </w:rPr>
        <w:t>.2 供方免费提供数据交互功能，交互数据包括但不限于实时数据、历史数据、报警信息等。</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8</w:t>
      </w:r>
      <w:r>
        <w:rPr>
          <w:rFonts w:hint="eastAsia" w:ascii="宋体" w:hAnsi="宋体" w:eastAsia="宋体" w:cs="Times New Roman"/>
          <w:sz w:val="24"/>
          <w:szCs w:val="24"/>
          <w:highlight w:val="green"/>
        </w:rPr>
        <w:t>.3 供方在设备入场前提供接口的技术文档和参数说明，包括但不限于接口协议、通讯速率、数据格式等。</w:t>
      </w:r>
    </w:p>
    <w:p>
      <w:pPr>
        <w:spacing w:line="360" w:lineRule="auto"/>
        <w:ind w:firstLine="360" w:firstLineChars="15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8</w:t>
      </w:r>
      <w:r>
        <w:rPr>
          <w:rFonts w:hint="eastAsia" w:ascii="宋体" w:hAnsi="宋体" w:eastAsia="宋体" w:cs="Times New Roman"/>
          <w:sz w:val="24"/>
          <w:szCs w:val="24"/>
          <w:highlight w:val="green"/>
        </w:rPr>
        <w:t>.4 设备使用周期内，供方免费派遣技术人员与甲方调试团队共同进行设备通讯接口的调试工作。</w:t>
      </w:r>
    </w:p>
    <w:p>
      <w:pPr>
        <w:spacing w:line="360" w:lineRule="auto"/>
        <w:ind w:firstLine="480" w:firstLineChars="200"/>
        <w:rPr>
          <w:rFonts w:hint="default" w:ascii="宋体" w:hAnsi="宋体" w:eastAsia="宋体" w:cs="Times New Roman"/>
          <w:sz w:val="24"/>
          <w:szCs w:val="24"/>
          <w:highlight w:val="green"/>
          <w:lang w:val="en-US" w:eastAsia="zh-CN"/>
        </w:rPr>
      </w:pPr>
      <w:r>
        <w:rPr>
          <w:rFonts w:hint="eastAsia" w:ascii="宋体" w:hAnsi="宋体" w:eastAsia="宋体" w:cs="Times New Roman"/>
          <w:sz w:val="24"/>
          <w:szCs w:val="24"/>
          <w:highlight w:val="green"/>
          <w:lang w:val="en-US" w:eastAsia="zh-CN"/>
        </w:rPr>
        <w:t>9.电机功率≥7.5kW,必须选用一级能效，电机功率＜7.5kW，优先选用一级能效；其中能源供应设备及年运行时间≥2000h工艺设备电机必须选用一级能效。</w:t>
      </w:r>
    </w:p>
    <w:p>
      <w:pPr>
        <w:pStyle w:val="113"/>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三、技术要求</w:t>
      </w:r>
    </w:p>
    <w:p>
      <w:pPr>
        <w:spacing w:line="360" w:lineRule="auto"/>
        <w:ind w:left="0" w:leftChars="0" w:firstLine="480" w:firstLineChars="200"/>
        <w:rPr>
          <w:rFonts w:hint="eastAsia" w:ascii="宋体" w:hAnsi="宋体" w:eastAsia="宋体" w:cs="Times New Roman"/>
          <w:sz w:val="24"/>
          <w:szCs w:val="24"/>
        </w:rPr>
      </w:pPr>
      <w:r>
        <w:rPr>
          <w:rFonts w:hint="eastAsia" w:ascii="宋体" w:hAnsi="宋体" w:eastAsia="宋体" w:cs="Times New Roman"/>
          <w:sz w:val="24"/>
          <w:szCs w:val="24"/>
        </w:rPr>
        <w:t xml:space="preserve">1  </w:t>
      </w:r>
      <w:r>
        <w:rPr>
          <w:rFonts w:hint="eastAsia" w:ascii="宋体" w:hAnsi="宋体" w:eastAsia="宋体" w:cs="Times New Roman"/>
          <w:sz w:val="24"/>
          <w:szCs w:val="24"/>
          <w:lang w:val="en-US" w:eastAsia="zh-CN"/>
        </w:rPr>
        <w:t>总体要求</w:t>
      </w:r>
      <w:r>
        <w:rPr>
          <w:rFonts w:hint="eastAsia" w:ascii="宋体" w:hAnsi="宋体" w:eastAsia="宋体" w:cs="Times New Roman"/>
          <w:sz w:val="24"/>
          <w:szCs w:val="24"/>
        </w:rPr>
        <w:t>：</w:t>
      </w:r>
    </w:p>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在基本要求和执行标准基础上，本技术标书对所采购的货物的技术及使用等方面做出如下要求：</w:t>
      </w:r>
    </w:p>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（注：带*的项目为核心参数，不允许有技术负偏离；其余项目为一般项目。）</w:t>
      </w:r>
    </w:p>
    <w:p>
      <w:pPr>
        <w:spacing w:line="360" w:lineRule="auto"/>
        <w:ind w:left="239" w:leftChars="114" w:right="238" w:firstLine="482" w:firstLineChars="200"/>
        <w:rPr>
          <w:rFonts w:hint="eastAsia" w:ascii="宋体" w:hAnsi="宋体" w:eastAsia="宋体" w:cs="宋体"/>
          <w:b/>
          <w:bCs/>
          <w:color w:val="000000"/>
          <w:sz w:val="24"/>
          <w:szCs w:val="24"/>
          <w:highlight w:val="none"/>
          <w:lang w:val="en-US" w:eastAsia="zh-CN"/>
        </w:rPr>
      </w:pPr>
      <w:bookmarkStart w:id="37" w:name="_Hlk130224960"/>
      <w:r>
        <w:rPr>
          <w:rFonts w:hint="eastAsia" w:ascii="宋体" w:hAnsi="宋体" w:eastAsia="宋体" w:cs="宋体"/>
          <w:b/>
          <w:bCs/>
          <w:color w:val="000000"/>
          <w:sz w:val="24"/>
          <w:szCs w:val="24"/>
          <w:highlight w:val="none"/>
        </w:rPr>
        <w:t>*要求投标方及制造商企业近</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年内无因产品交付问题与客户产生商业纠纷事件</w:t>
      </w:r>
      <w:r>
        <w:rPr>
          <w:rFonts w:hint="eastAsia" w:ascii="宋体" w:hAnsi="宋体" w:eastAsia="宋体" w:cs="宋体"/>
          <w:b/>
          <w:bCs/>
          <w:color w:val="000000"/>
          <w:sz w:val="24"/>
          <w:szCs w:val="24"/>
          <w:highlight w:val="none"/>
          <w:lang w:eastAsia="zh-CN"/>
        </w:rPr>
        <w:t>。</w:t>
      </w:r>
    </w:p>
    <w:p>
      <w:pPr>
        <w:spacing w:line="360" w:lineRule="auto"/>
        <w:ind w:left="239" w:leftChars="114" w:right="238"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*要求投标方企业近</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年内有</w:t>
      </w:r>
      <w:r>
        <w:rPr>
          <w:rFonts w:hint="eastAsia" w:ascii="宋体" w:hAnsi="宋体" w:eastAsia="宋体" w:cs="宋体"/>
          <w:b/>
          <w:bCs/>
          <w:color w:val="000000"/>
          <w:sz w:val="24"/>
          <w:szCs w:val="24"/>
          <w:highlight w:val="none"/>
          <w:lang w:val="en-US" w:eastAsia="zh-CN"/>
        </w:rPr>
        <w:t>相关电泳废气改造</w:t>
      </w:r>
      <w:r>
        <w:rPr>
          <w:rFonts w:hint="eastAsia" w:ascii="宋体" w:hAnsi="宋体" w:eastAsia="宋体" w:cs="宋体"/>
          <w:b/>
          <w:bCs/>
          <w:color w:val="000000"/>
          <w:sz w:val="24"/>
          <w:szCs w:val="24"/>
          <w:highlight w:val="none"/>
        </w:rPr>
        <w:t>的成功案例。</w:t>
      </w:r>
    </w:p>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*投标方应提供整套设计方案，包括但不限于下面所描述内容。如在执行过程中必需但该招标要求没有明确的，投标方应免费给予补足。</w:t>
      </w:r>
    </w:p>
    <w:p>
      <w:pPr>
        <w:spacing w:line="360" w:lineRule="auto"/>
        <w:ind w:left="239" w:leftChars="114" w:right="238"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本项目涉及的所有设备通信协议需要技术方案评审时一并免费提交给招标方</w:t>
      </w:r>
      <w:r>
        <w:rPr>
          <w:rFonts w:hint="eastAsia" w:ascii="宋体" w:hAnsi="宋体" w:eastAsia="宋体" w:cs="宋体"/>
          <w:color w:val="000000"/>
          <w:sz w:val="24"/>
          <w:szCs w:val="24"/>
          <w:highlight w:val="none"/>
          <w:lang w:eastAsia="zh-CN"/>
        </w:rPr>
        <w:t>。</w:t>
      </w:r>
    </w:p>
    <w:p>
      <w:pPr>
        <w:pStyle w:val="2"/>
        <w:spacing w:line="360" w:lineRule="auto"/>
        <w:rPr>
          <w:rFonts w:hint="default"/>
          <w:lang w:val="en-US" w:eastAsia="zh-CN"/>
        </w:rPr>
      </w:pPr>
      <w:r>
        <w:rPr>
          <w:rFonts w:hint="eastAsia" w:ascii="宋体" w:hAnsi="宋体" w:eastAsia="宋体" w:cs="宋体"/>
          <w:color w:val="000000"/>
          <w:sz w:val="24"/>
          <w:szCs w:val="24"/>
          <w:highlight w:val="none"/>
          <w:lang w:val="en-US" w:eastAsia="zh-CN"/>
        </w:rPr>
        <w:t>实施方案：</w:t>
      </w:r>
    </w:p>
    <w:p>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环评批复要求，电泳废气经处理后要满足《挥发性有机物排放标准第1部分：汽车制造业》（DB37/2801.1-2016）表1中限值要求，VOCs最高允许排放浓度限值为30mg/m³，最高运行排放速率限值为3.0kg/h，排气筒高度不低于15m，详见下表。</w:t>
      </w:r>
    </w:p>
    <w:tbl>
      <w:tblPr>
        <w:tblStyle w:val="36"/>
        <w:tblpPr w:leftFromText="180" w:rightFromText="180" w:vertAnchor="text" w:horzAnchor="page" w:tblpX="1423" w:tblpY="714"/>
        <w:tblOverlap w:val="never"/>
        <w:tblW w:w="9281" w:type="dxa"/>
        <w:tblInd w:w="0" w:type="dxa"/>
        <w:tblLayout w:type="fixed"/>
        <w:tblCellMar>
          <w:top w:w="0" w:type="dxa"/>
          <w:left w:w="108" w:type="dxa"/>
          <w:bottom w:w="0" w:type="dxa"/>
          <w:right w:w="108" w:type="dxa"/>
        </w:tblCellMar>
      </w:tblPr>
      <w:tblGrid>
        <w:gridCol w:w="914"/>
        <w:gridCol w:w="2463"/>
        <w:gridCol w:w="2183"/>
        <w:gridCol w:w="2184"/>
        <w:gridCol w:w="1537"/>
      </w:tblGrid>
      <w:tr>
        <w:tblPrEx>
          <w:tblCellMar>
            <w:top w:w="0" w:type="dxa"/>
            <w:left w:w="108" w:type="dxa"/>
            <w:bottom w:w="0" w:type="dxa"/>
            <w:right w:w="108" w:type="dxa"/>
          </w:tblCellMar>
        </w:tblPrEx>
        <w:trPr>
          <w:trHeight w:val="285" w:hRule="atLeast"/>
        </w:trPr>
        <w:tc>
          <w:tcPr>
            <w:tcW w:w="3377"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污染物</w:t>
            </w:r>
          </w:p>
        </w:tc>
        <w:tc>
          <w:tcPr>
            <w:tcW w:w="2183"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最高允许排放浓度限值（mg/m3）</w:t>
            </w:r>
          </w:p>
        </w:tc>
        <w:tc>
          <w:tcPr>
            <w:tcW w:w="3721" w:type="dxa"/>
            <w:gridSpan w:val="2"/>
            <w:tcBorders>
              <w:top w:val="single" w:color="000000" w:sz="4" w:space="0"/>
              <w:left w:val="single" w:color="000000" w:sz="4" w:space="0"/>
              <w:bottom w:val="single" w:color="000000" w:sz="4" w:space="0"/>
              <w:right w:val="single" w:color="000000" w:sz="4" w:space="0"/>
            </w:tcBorders>
            <w:noWrap/>
            <w:vAlign w:val="bottom"/>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最高允许排放速率限值（kg/h）</w:t>
            </w:r>
          </w:p>
        </w:tc>
      </w:tr>
      <w:tr>
        <w:tblPrEx>
          <w:tblCellMar>
            <w:top w:w="0" w:type="dxa"/>
            <w:left w:w="108" w:type="dxa"/>
            <w:bottom w:w="0" w:type="dxa"/>
            <w:right w:w="108" w:type="dxa"/>
          </w:tblCellMar>
        </w:tblPrEx>
        <w:trPr>
          <w:trHeight w:val="285" w:hRule="atLeast"/>
        </w:trPr>
        <w:tc>
          <w:tcPr>
            <w:tcW w:w="3377"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p>
        </w:tc>
        <w:tc>
          <w:tcPr>
            <w:tcW w:w="218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p>
        </w:tc>
        <w:tc>
          <w:tcPr>
            <w:tcW w:w="218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15m≤H＜30m</w:t>
            </w:r>
          </w:p>
        </w:tc>
        <w:tc>
          <w:tcPr>
            <w:tcW w:w="153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H≥30m</w:t>
            </w:r>
          </w:p>
        </w:tc>
      </w:tr>
      <w:tr>
        <w:tblPrEx>
          <w:tblCellMar>
            <w:top w:w="0" w:type="dxa"/>
            <w:left w:w="108" w:type="dxa"/>
            <w:bottom w:w="0" w:type="dxa"/>
            <w:right w:w="108" w:type="dxa"/>
          </w:tblCellMar>
        </w:tblPrEx>
        <w:trPr>
          <w:trHeight w:val="285" w:hRule="atLeast"/>
        </w:trPr>
        <w:tc>
          <w:tcPr>
            <w:tcW w:w="3377" w:type="dxa"/>
            <w:gridSpan w:val="2"/>
            <w:tcBorders>
              <w:top w:val="single" w:color="000000" w:sz="4" w:space="0"/>
              <w:left w:val="single" w:color="000000" w:sz="4" w:space="0"/>
              <w:bottom w:val="single" w:color="000000" w:sz="4" w:space="0"/>
              <w:right w:val="single" w:color="000000" w:sz="4" w:space="0"/>
            </w:tcBorders>
            <w:noWrap/>
            <w:vAlign w:val="bottom"/>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苯</w:t>
            </w:r>
          </w:p>
        </w:tc>
        <w:tc>
          <w:tcPr>
            <w:tcW w:w="218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1.0 </w:t>
            </w:r>
          </w:p>
        </w:tc>
        <w:tc>
          <w:tcPr>
            <w:tcW w:w="218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0.2</w:t>
            </w:r>
          </w:p>
        </w:tc>
        <w:tc>
          <w:tcPr>
            <w:tcW w:w="153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0.2</w:t>
            </w:r>
          </w:p>
        </w:tc>
      </w:tr>
      <w:tr>
        <w:tblPrEx>
          <w:tblCellMar>
            <w:top w:w="0" w:type="dxa"/>
            <w:left w:w="108" w:type="dxa"/>
            <w:bottom w:w="0" w:type="dxa"/>
            <w:right w:w="108" w:type="dxa"/>
          </w:tblCellMar>
        </w:tblPrEx>
        <w:trPr>
          <w:trHeight w:val="285" w:hRule="atLeast"/>
        </w:trPr>
        <w:tc>
          <w:tcPr>
            <w:tcW w:w="3377" w:type="dxa"/>
            <w:gridSpan w:val="2"/>
            <w:tcBorders>
              <w:top w:val="single" w:color="000000" w:sz="4" w:space="0"/>
              <w:left w:val="single" w:color="000000" w:sz="4" w:space="0"/>
              <w:bottom w:val="single" w:color="000000" w:sz="4" w:space="0"/>
              <w:right w:val="single" w:color="000000" w:sz="4" w:space="0"/>
            </w:tcBorders>
            <w:noWrap/>
            <w:vAlign w:val="bottom"/>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甲苯</w:t>
            </w:r>
          </w:p>
        </w:tc>
        <w:tc>
          <w:tcPr>
            <w:tcW w:w="218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3.0 </w:t>
            </w:r>
          </w:p>
        </w:tc>
        <w:tc>
          <w:tcPr>
            <w:tcW w:w="218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0.5</w:t>
            </w:r>
          </w:p>
        </w:tc>
        <w:tc>
          <w:tcPr>
            <w:tcW w:w="153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w:t>
            </w:r>
          </w:p>
        </w:tc>
      </w:tr>
      <w:tr>
        <w:tblPrEx>
          <w:tblCellMar>
            <w:top w:w="0" w:type="dxa"/>
            <w:left w:w="108" w:type="dxa"/>
            <w:bottom w:w="0" w:type="dxa"/>
            <w:right w:w="108" w:type="dxa"/>
          </w:tblCellMar>
        </w:tblPrEx>
        <w:trPr>
          <w:trHeight w:val="285" w:hRule="atLeast"/>
        </w:trPr>
        <w:tc>
          <w:tcPr>
            <w:tcW w:w="914"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二甲苯</w:t>
            </w:r>
          </w:p>
        </w:tc>
        <w:tc>
          <w:tcPr>
            <w:tcW w:w="246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M类、N类汽车</w:t>
            </w:r>
          </w:p>
        </w:tc>
        <w:tc>
          <w:tcPr>
            <w:tcW w:w="218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w:t>
            </w:r>
          </w:p>
        </w:tc>
        <w:tc>
          <w:tcPr>
            <w:tcW w:w="2184"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1.0 </w:t>
            </w:r>
          </w:p>
        </w:tc>
        <w:tc>
          <w:tcPr>
            <w:tcW w:w="1537"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3.0 </w:t>
            </w:r>
          </w:p>
        </w:tc>
      </w:tr>
      <w:tr>
        <w:tblPrEx>
          <w:tblCellMar>
            <w:top w:w="0" w:type="dxa"/>
            <w:left w:w="108" w:type="dxa"/>
            <w:bottom w:w="0" w:type="dxa"/>
            <w:right w:w="108" w:type="dxa"/>
          </w:tblCellMar>
        </w:tblPrEx>
        <w:trPr>
          <w:trHeight w:val="285" w:hRule="atLeast"/>
        </w:trPr>
        <w:tc>
          <w:tcPr>
            <w:tcW w:w="91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p>
        </w:tc>
        <w:tc>
          <w:tcPr>
            <w:tcW w:w="246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特殊用途汽车</w:t>
            </w:r>
          </w:p>
        </w:tc>
        <w:tc>
          <w:tcPr>
            <w:tcW w:w="218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w:t>
            </w:r>
          </w:p>
        </w:tc>
        <w:tc>
          <w:tcPr>
            <w:tcW w:w="218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jc w:val="left"/>
              <w:rPr>
                <w:rFonts w:hint="eastAsia" w:ascii="宋体" w:hAnsi="宋体" w:eastAsia="宋体" w:cs="宋体"/>
                <w:color w:val="000000"/>
                <w:sz w:val="24"/>
                <w:szCs w:val="24"/>
                <w:highlight w:val="none"/>
              </w:rPr>
            </w:pPr>
          </w:p>
        </w:tc>
        <w:tc>
          <w:tcPr>
            <w:tcW w:w="153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jc w:val="left"/>
              <w:rPr>
                <w:rFonts w:hint="eastAsia" w:ascii="宋体" w:hAnsi="宋体" w:eastAsia="宋体" w:cs="宋体"/>
                <w:color w:val="000000"/>
                <w:sz w:val="24"/>
                <w:szCs w:val="24"/>
                <w:highlight w:val="none"/>
              </w:rPr>
            </w:pPr>
          </w:p>
        </w:tc>
      </w:tr>
      <w:tr>
        <w:tblPrEx>
          <w:tblCellMar>
            <w:top w:w="0" w:type="dxa"/>
            <w:left w:w="108" w:type="dxa"/>
            <w:bottom w:w="0" w:type="dxa"/>
            <w:right w:w="108" w:type="dxa"/>
          </w:tblCellMar>
        </w:tblPrEx>
        <w:trPr>
          <w:trHeight w:val="285" w:hRule="atLeast"/>
        </w:trPr>
        <w:tc>
          <w:tcPr>
            <w:tcW w:w="914"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苯系物</w:t>
            </w:r>
          </w:p>
        </w:tc>
        <w:tc>
          <w:tcPr>
            <w:tcW w:w="246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M类、N类汽车</w:t>
            </w:r>
          </w:p>
        </w:tc>
        <w:tc>
          <w:tcPr>
            <w:tcW w:w="218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w:t>
            </w:r>
          </w:p>
        </w:tc>
        <w:tc>
          <w:tcPr>
            <w:tcW w:w="2184"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2.5 </w:t>
            </w:r>
          </w:p>
        </w:tc>
        <w:tc>
          <w:tcPr>
            <w:tcW w:w="1537"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6.4 </w:t>
            </w:r>
          </w:p>
        </w:tc>
      </w:tr>
      <w:tr>
        <w:tblPrEx>
          <w:tblCellMar>
            <w:top w:w="0" w:type="dxa"/>
            <w:left w:w="108" w:type="dxa"/>
            <w:bottom w:w="0" w:type="dxa"/>
            <w:right w:w="108" w:type="dxa"/>
          </w:tblCellMar>
        </w:tblPrEx>
        <w:trPr>
          <w:trHeight w:val="285" w:hRule="atLeast"/>
        </w:trPr>
        <w:tc>
          <w:tcPr>
            <w:tcW w:w="91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p>
        </w:tc>
        <w:tc>
          <w:tcPr>
            <w:tcW w:w="246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特殊用途汽车</w:t>
            </w:r>
          </w:p>
        </w:tc>
        <w:tc>
          <w:tcPr>
            <w:tcW w:w="218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40</w:t>
            </w:r>
          </w:p>
        </w:tc>
        <w:tc>
          <w:tcPr>
            <w:tcW w:w="218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jc w:val="left"/>
              <w:rPr>
                <w:rFonts w:hint="eastAsia" w:ascii="宋体" w:hAnsi="宋体" w:eastAsia="宋体" w:cs="宋体"/>
                <w:color w:val="000000"/>
                <w:sz w:val="24"/>
                <w:szCs w:val="24"/>
                <w:highlight w:val="none"/>
              </w:rPr>
            </w:pPr>
          </w:p>
        </w:tc>
        <w:tc>
          <w:tcPr>
            <w:tcW w:w="153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jc w:val="left"/>
              <w:rPr>
                <w:rFonts w:hint="eastAsia" w:ascii="宋体" w:hAnsi="宋体" w:eastAsia="宋体" w:cs="宋体"/>
                <w:color w:val="000000"/>
                <w:sz w:val="24"/>
                <w:szCs w:val="24"/>
                <w:highlight w:val="none"/>
              </w:rPr>
            </w:pPr>
          </w:p>
        </w:tc>
      </w:tr>
      <w:tr>
        <w:tblPrEx>
          <w:tblCellMar>
            <w:top w:w="0" w:type="dxa"/>
            <w:left w:w="108" w:type="dxa"/>
            <w:bottom w:w="0" w:type="dxa"/>
            <w:right w:w="108" w:type="dxa"/>
          </w:tblCellMar>
        </w:tblPrEx>
        <w:trPr>
          <w:trHeight w:val="285" w:hRule="atLeast"/>
        </w:trPr>
        <w:tc>
          <w:tcPr>
            <w:tcW w:w="914"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VOCs</w:t>
            </w:r>
          </w:p>
        </w:tc>
        <w:tc>
          <w:tcPr>
            <w:tcW w:w="246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M类、N类汽车</w:t>
            </w:r>
          </w:p>
        </w:tc>
        <w:tc>
          <w:tcPr>
            <w:tcW w:w="218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30</w:t>
            </w:r>
          </w:p>
        </w:tc>
        <w:tc>
          <w:tcPr>
            <w:tcW w:w="2184"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3.0 </w:t>
            </w:r>
          </w:p>
        </w:tc>
        <w:tc>
          <w:tcPr>
            <w:tcW w:w="1537"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14.0 </w:t>
            </w:r>
          </w:p>
        </w:tc>
      </w:tr>
      <w:tr>
        <w:tblPrEx>
          <w:tblCellMar>
            <w:top w:w="0" w:type="dxa"/>
            <w:left w:w="108" w:type="dxa"/>
            <w:bottom w:w="0" w:type="dxa"/>
            <w:right w:w="108" w:type="dxa"/>
          </w:tblCellMar>
        </w:tblPrEx>
        <w:trPr>
          <w:trHeight w:val="285" w:hRule="atLeast"/>
        </w:trPr>
        <w:tc>
          <w:tcPr>
            <w:tcW w:w="91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p>
        </w:tc>
        <w:tc>
          <w:tcPr>
            <w:tcW w:w="246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right="23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特殊用途汽车</w:t>
            </w:r>
          </w:p>
        </w:tc>
        <w:tc>
          <w:tcPr>
            <w:tcW w:w="218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50</w:t>
            </w:r>
          </w:p>
        </w:tc>
        <w:tc>
          <w:tcPr>
            <w:tcW w:w="218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p>
        </w:tc>
        <w:tc>
          <w:tcPr>
            <w:tcW w:w="153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p>
        </w:tc>
      </w:tr>
      <w:tr>
        <w:tblPrEx>
          <w:tblCellMar>
            <w:top w:w="0" w:type="dxa"/>
            <w:left w:w="108" w:type="dxa"/>
            <w:bottom w:w="0" w:type="dxa"/>
            <w:right w:w="108" w:type="dxa"/>
          </w:tblCellMar>
        </w:tblPrEx>
        <w:trPr>
          <w:trHeight w:val="285" w:hRule="atLeast"/>
        </w:trPr>
        <w:tc>
          <w:tcPr>
            <w:tcW w:w="9281" w:type="dxa"/>
            <w:gridSpan w:val="5"/>
            <w:tcBorders>
              <w:top w:val="single" w:color="000000" w:sz="4" w:space="0"/>
              <w:left w:val="single" w:color="000000" w:sz="4" w:space="0"/>
              <w:bottom w:val="single" w:color="000000" w:sz="4" w:space="0"/>
              <w:right w:val="single" w:color="000000" w:sz="4" w:space="0"/>
            </w:tcBorders>
            <w:noWrap/>
            <w:vAlign w:val="center"/>
          </w:tcPr>
          <w:p>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注：H代表排气筒高度。</w:t>
            </w:r>
          </w:p>
        </w:tc>
      </w:tr>
    </w:tbl>
    <w:p>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表1汽车涂装生产线排气筒VOCs排放限值（DB37/2801.1-2016）</w:t>
      </w:r>
    </w:p>
    <w:p>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2.2工艺处理流程</w:t>
      </w:r>
    </w:p>
    <w:p>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电泳设置废气收集装置，通过风管将电泳废气输送至废气处理装置，采用过滤棉+两级活性炭吸附实现达标排放，最后通过不低于15米的排气筒排放。</w:t>
      </w:r>
    </w:p>
    <w:p>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2.3方案实施</w:t>
      </w:r>
    </w:p>
    <w:p>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现有车架电泳废气无收集处理措施，电泳废气风量33000Nm³/h，通过风管将电泳废气输送至废气处理装置采用过滤棉+两级活性炭吸附实现达标排放，最后通过不低于15米的排气筒排放。</w:t>
      </w:r>
    </w:p>
    <w:p>
      <w:pPr>
        <w:pStyle w:val="2"/>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增设过滤棉+两级活性炭装置，废气经处理后通过原有排气筒高空排放。处理风量为33000Nm³/h，汇总后进入一套二级活性炭吸附装置，同时设置一级G4级粗效过滤，活性炭吸附截面风速＜1.2m/s，活性炭碘值要求≥800mg/g，通过1台防爆吸附风机吸附，废气经活性炭吸附后，通过一台主风机排入原有排气筒，</w:t>
      </w:r>
      <w:r>
        <w:rPr>
          <w:rFonts w:hint="eastAsia" w:ascii="宋体" w:hAnsi="宋体" w:eastAsia="宋体" w:cs="宋体"/>
          <w:color w:val="000000"/>
          <w:sz w:val="24"/>
          <w:szCs w:val="24"/>
          <w:highlight w:val="yellow"/>
          <w:lang w:val="en-US" w:eastAsia="zh-CN"/>
        </w:rPr>
        <w:t>增加防爆吸附风机后，前端电泳室体集气罩需满足</w:t>
      </w:r>
      <w:r>
        <w:rPr>
          <w:rFonts w:ascii="宋体" w:hAnsi="宋体" w:eastAsia="宋体" w:cs="宋体"/>
          <w:sz w:val="24"/>
          <w:szCs w:val="24"/>
          <w:highlight w:val="yellow"/>
        </w:rPr>
        <w:t>《排风罩的分类及技术条件 》（GB/T 16758—2008）、《局部排风设施控制风速检测与评估技术规范 》（WS/T 757—2016）</w:t>
      </w:r>
      <w:r>
        <w:rPr>
          <w:rFonts w:hint="eastAsia" w:ascii="宋体" w:hAnsi="宋体" w:eastAsia="宋体" w:cs="宋体"/>
          <w:sz w:val="24"/>
          <w:szCs w:val="24"/>
          <w:highlight w:val="yellow"/>
          <w:lang w:val="en-US" w:eastAsia="zh-CN"/>
        </w:rPr>
        <w:t>要求，</w:t>
      </w:r>
      <w:r>
        <w:rPr>
          <w:rFonts w:ascii="宋体" w:hAnsi="宋体" w:eastAsia="宋体" w:cs="宋体"/>
          <w:sz w:val="24"/>
          <w:szCs w:val="24"/>
          <w:highlight w:val="yellow"/>
        </w:rPr>
        <w:t>测量点应选取在距排风罩开口面最远处的VOCs 无组织排放位置，控制风速不应低于0.3 m/s</w:t>
      </w:r>
      <w:r>
        <w:rPr>
          <w:rFonts w:hint="eastAsia" w:ascii="宋体" w:hAnsi="宋体" w:eastAsia="宋体" w:cs="宋体"/>
          <w:sz w:val="24"/>
          <w:szCs w:val="24"/>
          <w:highlight w:val="yellow"/>
          <w:lang w:eastAsia="zh-CN"/>
        </w:rPr>
        <w:t>。</w:t>
      </w:r>
    </w:p>
    <w:p>
      <w:pPr>
        <w:pStyle w:val="2"/>
        <w:spacing w:line="360" w:lineRule="auto"/>
        <w:ind w:left="0" w:leftChars="0"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废气排放风筒采用镀锌螺旋风筒。根据现场现有排风管道，废气连接排放管道采用直径1000mm的螺旋风筒作为连接活性炭箱及风机的主管道，经活性炭吸附处理后的废气进入原有排气筒。</w:t>
      </w:r>
      <w:r>
        <w:rPr>
          <w:rFonts w:hint="eastAsia" w:ascii="宋体" w:hAnsi="宋体" w:eastAsia="宋体" w:cs="宋体"/>
          <w:color w:val="000000"/>
          <w:sz w:val="24"/>
          <w:szCs w:val="24"/>
          <w:highlight w:val="yellow"/>
          <w:lang w:val="en-US" w:eastAsia="zh-CN"/>
        </w:rPr>
        <w:t>风管设有处理设施前后检测口，检测口满足</w:t>
      </w:r>
      <w:r>
        <w:rPr>
          <w:rFonts w:hint="eastAsia" w:ascii="宋体" w:hAnsi="宋体" w:eastAsia="宋体" w:cs="宋体"/>
          <w:sz w:val="24"/>
          <w:szCs w:val="24"/>
          <w:highlight w:val="yellow"/>
          <w:lang w:val="en-US" w:eastAsia="zh-CN"/>
        </w:rPr>
        <w:t>固定污染源废气监测点位设置技术规范（DB34T3535-2019）要求。</w:t>
      </w:r>
    </w:p>
    <w:p>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主控制柜顶部装有带声响的柱型指示灯以显示系统的运行状态及故障类别，柱型指示灯分三层，上层红色显示故障，中层绿色显示运行，下层黄色显示停止。主控柜设置主电源开关(带热过载、电磁过载、错相保护功能，带反馈触点，上传 PLC 系统)，可手动设定主开关，在控制柜面板设置电源指示灯。控制柜进、出线采用电缆桥架，在控制柜的顶部或底部进、出线，给控制系统内所有设备提供动力电源及控制电源，所有控制柜配置门开关及照明灯。采取自动化控制系统、变送器、报警系统等。安全保护措施包括:停电、火灾、温度异常、风车异常、系统设备异常停机、系统静压低于低报时停机保护联锁等。控制柜安装在受控机械设备附近（具体位置现场定）。</w:t>
      </w:r>
    </w:p>
    <w:p>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布线方式：柜内采用线槽，柜外采用镀锌桥架，其他使用尼龙软管为辅。</w:t>
      </w:r>
    </w:p>
    <w:bookmarkEnd w:id="37"/>
    <w:p>
      <w:pPr>
        <w:spacing w:line="360" w:lineRule="auto"/>
        <w:ind w:left="239" w:leftChars="114" w:right="238" w:firstLine="480" w:firstLineChars="200"/>
        <w:rPr>
          <w:rFonts w:hint="eastAsia" w:ascii="宋体" w:hAnsi="宋体" w:eastAsia="宋体" w:cs="宋体"/>
          <w:color w:val="000000" w:themeColor="text1"/>
          <w:sz w:val="24"/>
          <w:szCs w:val="24"/>
          <w:highlight w:val="yellow"/>
          <w:lang w:val="en-US" w:eastAsia="zh-CN"/>
          <w14:textFill>
            <w14:solidFill>
              <w14:schemeClr w14:val="tx1"/>
            </w14:solidFill>
          </w14:textFill>
        </w:rPr>
      </w:pPr>
      <w:r>
        <w:rPr>
          <w:rFonts w:hint="eastAsia" w:ascii="宋体" w:hAnsi="宋体" w:eastAsia="宋体" w:cs="宋体"/>
          <w:color w:val="000000" w:themeColor="text1"/>
          <w:sz w:val="24"/>
          <w:szCs w:val="24"/>
          <w:highlight w:val="yellow"/>
          <w:lang w:val="en-US" w:eastAsia="zh-CN"/>
          <w14:textFill>
            <w14:solidFill>
              <w14:schemeClr w14:val="tx1"/>
            </w14:solidFill>
          </w14:textFill>
        </w:rPr>
        <w:t>活性炭箱考虑车间屋面载荷问题，就近放置地面。2024年12月车架电泳线拆除后，二级活性炭箱及主风机（含控制柜）后期搬迁至商用车制造公司旧危废仓库使用。</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2.4设备铭牌和标识</w:t>
      </w:r>
    </w:p>
    <w:p>
      <w:pPr>
        <w:spacing w:line="360" w:lineRule="auto"/>
        <w:ind w:left="239" w:leftChars="114" w:right="238"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铭牌上含有：设备名称（以本技术协议设备名称为准）、型号规格、功率、生产日期、出厂编号、生产厂家等信息。</w:t>
      </w:r>
    </w:p>
    <w:p>
      <w:pPr>
        <w:spacing w:line="360" w:lineRule="auto"/>
        <w:ind w:left="239" w:leftChars="114" w:right="238"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38" w:name="_Toc6688"/>
      <w:bookmarkEnd w:id="38"/>
      <w:bookmarkStart w:id="39" w:name="_Toc32725"/>
      <w:bookmarkEnd w:id="39"/>
      <w:r>
        <w:rPr>
          <w:rFonts w:hint="eastAsia" w:ascii="宋体" w:hAnsi="宋体" w:eastAsia="宋体" w:cs="宋体"/>
          <w:color w:val="000000" w:themeColor="text1"/>
          <w:sz w:val="24"/>
          <w:szCs w:val="24"/>
          <w:highlight w:val="none"/>
          <w:lang w:val="en-US" w:eastAsia="zh-CN"/>
          <w14:textFill>
            <w14:solidFill>
              <w14:schemeClr w14:val="tx1"/>
            </w14:solidFill>
          </w14:textFill>
        </w:rPr>
        <w:t>设备控制按钮、传感器和显示仪表等都具有必要的清晰、永久标识，方便用户识别操作。电器元件、接线端子、气动元件和传感器等具有必要的永久标识，并和图纸一一对应，方便维护保养。</w:t>
      </w:r>
    </w:p>
    <w:p>
      <w:pPr>
        <w:spacing w:line="360" w:lineRule="auto"/>
        <w:ind w:left="239" w:leftChars="114" w:right="238"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在设备适当位置应有醒目安全提示标语，如“运行中禁止触摸”、“当心挤手”和“小心碰头”等必要安全标识。如有必要需配备防护网或防护罩等安全措施。</w:t>
      </w:r>
    </w:p>
    <w:p>
      <w:pPr>
        <w:pStyle w:val="22"/>
        <w:rPr>
          <w:rFonts w:hint="default"/>
          <w:lang w:val="en-US" w:eastAsia="zh-CN"/>
        </w:rPr>
      </w:pPr>
    </w:p>
    <w:p>
      <w:pPr>
        <w:pStyle w:val="118"/>
        <w:spacing w:line="360" w:lineRule="auto"/>
        <w:rPr>
          <w:rFonts w:ascii="宋体" w:hAnsi="宋体" w:cs="宋体"/>
          <w:color w:val="auto"/>
        </w:rPr>
      </w:pPr>
      <w:bookmarkStart w:id="40" w:name="_Toc169605881"/>
      <w:r>
        <w:rPr>
          <w:rFonts w:hint="eastAsia" w:ascii="宋体" w:hAnsi="宋体" w:cs="宋体"/>
          <w:color w:val="auto"/>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7.涉及的</w:t>
      </w:r>
      <w:r>
        <w:rPr>
          <w:rFonts w:hint="eastAsia" w:ascii="宋体" w:hAnsi="宋体" w:eastAsia="宋体" w:cs="宋体"/>
          <w:color w:val="auto"/>
          <w:sz w:val="24"/>
          <w:szCs w:val="24"/>
          <w:lang w:val="en-US" w:eastAsia="zh-CN"/>
        </w:rPr>
        <w:t>技术标准：</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《中华人民共和国环境保护法》。</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rPr>
        <w:t>大气污染物综合排放标准》（GB16297-1996）。</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《中华人民共和国大气污染物防治法》。</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GB/T52261-1996</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DB37/2801.5</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DB37/2376</w:t>
      </w:r>
    </w:p>
    <w:p>
      <w:pPr>
        <w:pStyle w:val="2"/>
        <w:spacing w:line="360" w:lineRule="auto"/>
        <w:ind w:left="0" w:leftChars="0"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《挥发性有机物排放标准第1部分：汽车制造业》（DB37/2801.1-2016）</w:t>
      </w:r>
    </w:p>
    <w:p>
      <w:pPr>
        <w:pStyle w:val="2"/>
        <w:spacing w:line="360" w:lineRule="auto"/>
        <w:ind w:left="0" w:leftChars="0" w:firstLine="480" w:firstLineChars="200"/>
        <w:rPr>
          <w:rFonts w:ascii="宋体" w:hAnsi="宋体" w:eastAsia="宋体" w:cs="宋体"/>
          <w:sz w:val="24"/>
          <w:szCs w:val="24"/>
          <w:highlight w:val="yellow"/>
        </w:rPr>
      </w:pPr>
      <w:r>
        <w:rPr>
          <w:rFonts w:ascii="宋体" w:hAnsi="宋体" w:eastAsia="宋体" w:cs="宋体"/>
          <w:sz w:val="24"/>
          <w:szCs w:val="24"/>
          <w:highlight w:val="yellow"/>
        </w:rPr>
        <w:t>GB/T 16157 固定污染源排气中颗粒物和气态污染物采样方法</w:t>
      </w:r>
    </w:p>
    <w:p>
      <w:pPr>
        <w:pStyle w:val="2"/>
        <w:spacing w:line="360" w:lineRule="auto"/>
        <w:ind w:left="0" w:leftChars="0"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固定污染源废气监测点位设置技术规范（DB34T3535-2019）</w:t>
      </w:r>
    </w:p>
    <w:p>
      <w:pPr>
        <w:pStyle w:val="2"/>
        <w:spacing w:line="360" w:lineRule="auto"/>
        <w:ind w:left="0" w:leftChars="0" w:firstLine="480" w:firstLineChars="200"/>
        <w:rPr>
          <w:rFonts w:ascii="宋体" w:hAnsi="宋体" w:eastAsia="宋体" w:cs="宋体"/>
          <w:sz w:val="24"/>
          <w:szCs w:val="24"/>
          <w:highlight w:val="yellow"/>
        </w:rPr>
      </w:pPr>
      <w:r>
        <w:rPr>
          <w:rFonts w:ascii="宋体" w:hAnsi="宋体" w:eastAsia="宋体" w:cs="宋体"/>
          <w:sz w:val="24"/>
          <w:szCs w:val="24"/>
          <w:highlight w:val="yellow"/>
        </w:rPr>
        <w:t>《排风罩的分类及技术条件 》（GB/T 16758—2008）</w:t>
      </w:r>
    </w:p>
    <w:p>
      <w:pPr>
        <w:pStyle w:val="2"/>
        <w:spacing w:line="360" w:lineRule="auto"/>
        <w:ind w:left="0" w:leftChars="0" w:firstLine="480" w:firstLineChars="200"/>
        <w:rPr>
          <w:rFonts w:hint="eastAsia" w:ascii="宋体" w:hAnsi="宋体" w:eastAsia="宋体" w:cs="宋体"/>
          <w:sz w:val="24"/>
          <w:szCs w:val="24"/>
          <w:highlight w:val="yellow"/>
          <w:lang w:val="en-US" w:eastAsia="zh-CN"/>
        </w:rPr>
      </w:pPr>
      <w:r>
        <w:rPr>
          <w:rFonts w:ascii="宋体" w:hAnsi="宋体" w:eastAsia="宋体" w:cs="宋体"/>
          <w:sz w:val="24"/>
          <w:szCs w:val="24"/>
          <w:highlight w:val="yellow"/>
        </w:rPr>
        <w:t>《局部排风设施控制风速检测与评估技术规范 》（WS/T 757—2016）</w:t>
      </w:r>
    </w:p>
    <w:p>
      <w:pPr>
        <w:pStyle w:val="2"/>
        <w:rPr>
          <w:rFonts w:hint="eastAsia"/>
        </w:rPr>
      </w:pPr>
    </w:p>
    <w:p>
      <w:pPr>
        <w:pStyle w:val="17"/>
        <w:rPr>
          <w:rFonts w:hint="eastAsia" w:ascii="宋体" w:hAnsi="宋体" w:eastAsia="宋体" w:cs="宋体"/>
          <w:sz w:val="24"/>
          <w:szCs w:val="24"/>
        </w:rPr>
      </w:pPr>
    </w:p>
    <w:p>
      <w:pPr>
        <w:spacing w:line="360" w:lineRule="auto"/>
        <w:ind w:firstLine="480" w:firstLineChars="200"/>
        <w:rPr>
          <w:rFonts w:hint="eastAsia" w:ascii="Calibri" w:hAnsi="Calibri" w:eastAsia="宋体" w:cs="Times New Roman"/>
          <w:b/>
          <w:bCs/>
          <w:kern w:val="44"/>
          <w:sz w:val="28"/>
          <w:szCs w:val="28"/>
        </w:rPr>
      </w:pPr>
      <w:r>
        <w:rPr>
          <w:rFonts w:hint="eastAsia" w:ascii="宋体" w:hAnsi="宋体" w:eastAsia="宋体" w:cs="宋体"/>
          <w:sz w:val="24"/>
          <w:szCs w:val="24"/>
        </w:rPr>
        <w:t xml:space="preserve">  </w:t>
      </w:r>
    </w:p>
    <w:p>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pPr>
        <w:keepNext/>
        <w:keepLines/>
        <w:jc w:val="center"/>
        <w:outlineLvl w:val="1"/>
        <w:rPr>
          <w:rFonts w:hint="eastAsia" w:ascii="Calibri" w:hAnsi="Calibri" w:eastAsia="宋体" w:cs="Times New Roman"/>
          <w:b/>
          <w:bCs/>
          <w:kern w:val="44"/>
          <w:sz w:val="28"/>
          <w:szCs w:val="28"/>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40"/>
    </w:p>
    <w:p/>
    <w:p>
      <w:pPr>
        <w:keepNext/>
        <w:keepLines/>
        <w:spacing w:line="360" w:lineRule="auto"/>
        <w:jc w:val="center"/>
        <w:outlineLvl w:val="2"/>
        <w:rPr>
          <w:rFonts w:ascii="宋体" w:hAnsi="宋体" w:eastAsia="宋体" w:cs="宋体"/>
          <w:b/>
          <w:bCs/>
          <w:sz w:val="24"/>
          <w:szCs w:val="32"/>
        </w:rPr>
      </w:pPr>
      <w:bookmarkStart w:id="41" w:name="_Toc169605882"/>
      <w:r>
        <w:rPr>
          <w:rFonts w:hint="eastAsia" w:ascii="宋体" w:hAnsi="宋体" w:eastAsia="宋体" w:cs="宋体"/>
          <w:b/>
          <w:bCs/>
          <w:sz w:val="24"/>
          <w:szCs w:val="32"/>
        </w:rPr>
        <w:t>第一节  供货范围</w:t>
      </w:r>
      <w:bookmarkEnd w:id="41"/>
    </w:p>
    <w:p>
      <w:pPr>
        <w:spacing w:line="420" w:lineRule="exact"/>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一、供货范围</w:t>
      </w:r>
    </w:p>
    <w:tbl>
      <w:tblPr>
        <w:tblStyle w:val="36"/>
        <w:tblW w:w="9068" w:type="dxa"/>
        <w:tblInd w:w="-1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6"/>
        <w:gridCol w:w="2712"/>
        <w:gridCol w:w="2966"/>
        <w:gridCol w:w="1047"/>
        <w:gridCol w:w="9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356" w:type="dxa"/>
            <w:tcBorders>
              <w:top w:val="single" w:color="auto" w:sz="4" w:space="0"/>
              <w:left w:val="single" w:color="auto" w:sz="4" w:space="0"/>
              <w:bottom w:val="nil"/>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2712" w:type="dxa"/>
            <w:tcBorders>
              <w:top w:val="single" w:color="auto" w:sz="4" w:space="0"/>
              <w:left w:val="single" w:color="auto" w:sz="4" w:space="0"/>
              <w:bottom w:val="nil"/>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设备名称</w:t>
            </w:r>
          </w:p>
        </w:tc>
        <w:tc>
          <w:tcPr>
            <w:tcW w:w="2966" w:type="dxa"/>
            <w:tcBorders>
              <w:top w:val="single" w:color="auto" w:sz="4" w:space="0"/>
              <w:left w:val="nil"/>
              <w:bottom w:val="nil"/>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具体参数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（规格型号的描述）</w:t>
            </w:r>
          </w:p>
        </w:tc>
        <w:tc>
          <w:tcPr>
            <w:tcW w:w="1047" w:type="dxa"/>
            <w:tcBorders>
              <w:top w:val="single" w:color="auto" w:sz="4" w:space="0"/>
              <w:left w:val="nil"/>
              <w:bottom w:val="nil"/>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987" w:type="dxa"/>
            <w:tcBorders>
              <w:top w:val="single" w:color="auto" w:sz="4" w:space="0"/>
              <w:left w:val="nil"/>
              <w:bottom w:val="nil"/>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35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1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二级活性炭吸附箱:设计风量33000m³/h</w:t>
            </w:r>
          </w:p>
        </w:tc>
        <w:tc>
          <w:tcPr>
            <w:tcW w:w="296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活性炭：碘值≥800防水型，孔径1.5mm，CTC≥30%，填充量≥3m³/个；颗粒状</w:t>
            </w:r>
          </w:p>
        </w:tc>
        <w:tc>
          <w:tcPr>
            <w:tcW w:w="1047"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vMerge w:val="restart"/>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6"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18"/>
                <w:szCs w:val="18"/>
                <w:u w:val="none"/>
              </w:rPr>
            </w:pPr>
          </w:p>
        </w:tc>
        <w:tc>
          <w:tcPr>
            <w:tcW w:w="2712"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18"/>
                <w:szCs w:val="18"/>
                <w:u w:val="none"/>
              </w:rPr>
            </w:pP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含2个数显压差表加泄爆片。</w:t>
            </w:r>
          </w:p>
        </w:tc>
        <w:tc>
          <w:tcPr>
            <w:tcW w:w="104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i w:val="0"/>
                <w:iCs w:val="0"/>
                <w:color w:val="000000"/>
                <w:sz w:val="18"/>
                <w:szCs w:val="18"/>
                <w:u w:val="none"/>
              </w:rPr>
            </w:pPr>
          </w:p>
        </w:tc>
        <w:tc>
          <w:tcPr>
            <w:tcW w:w="987" w:type="dxa"/>
            <w:vMerge w:val="continue"/>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风机</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能源1级，防爆变频，风量30000Nm³/h</w:t>
            </w:r>
          </w:p>
        </w:tc>
        <w:tc>
          <w:tcPr>
            <w:tcW w:w="104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镀锌螺旋管道</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直径1000，处理前，后取样口</w:t>
            </w:r>
          </w:p>
        </w:tc>
        <w:tc>
          <w:tcPr>
            <w:tcW w:w="104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碳钢管道</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直径500，</w:t>
            </w:r>
          </w:p>
        </w:tc>
        <w:tc>
          <w:tcPr>
            <w:tcW w:w="104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控制柜</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PLC采用西门子，电器元件施耐德，</w:t>
            </w:r>
          </w:p>
        </w:tc>
        <w:tc>
          <w:tcPr>
            <w:tcW w:w="104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桥架，线缆</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镀锌桥架</w:t>
            </w:r>
          </w:p>
        </w:tc>
        <w:tc>
          <w:tcPr>
            <w:tcW w:w="1047"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35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2712"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平台及爬梯建设</w:t>
            </w:r>
          </w:p>
        </w:tc>
        <w:tc>
          <w:tcPr>
            <w:tcW w:w="2966"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平台，护栏，采样平台</w:t>
            </w:r>
          </w:p>
        </w:tc>
        <w:tc>
          <w:tcPr>
            <w:tcW w:w="1047"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27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委托第三方检测比对</w:t>
            </w:r>
          </w:p>
        </w:tc>
        <w:tc>
          <w:tcPr>
            <w:tcW w:w="29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三方检测废气报告</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9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27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二级活性炭箱及主风机（含控制柜）搬迁危废库安装</w:t>
            </w:r>
          </w:p>
        </w:tc>
        <w:tc>
          <w:tcPr>
            <w:tcW w:w="29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bl>
    <w:p>
      <w:pPr>
        <w:pStyle w:val="22"/>
        <w:rPr>
          <w:rFonts w:hint="eastAsia" w:ascii="宋体" w:hAnsi="宋体" w:eastAsia="宋体" w:cs="宋体"/>
          <w:b/>
          <w:bCs/>
          <w:sz w:val="24"/>
          <w:szCs w:val="24"/>
          <w:highlight w:val="yellow"/>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2.本项目所需冷却循环水</w:t>
      </w:r>
      <w:r>
        <w:rPr>
          <w:rFonts w:hint="eastAsia" w:ascii="宋体" w:hAnsi="宋体" w:eastAsia="宋体" w:cs="宋体"/>
          <w:sz w:val="24"/>
          <w:szCs w:val="24"/>
          <w:lang w:val="en-US" w:eastAsia="zh-CN"/>
        </w:rPr>
        <w:t>和</w:t>
      </w:r>
      <w:r>
        <w:rPr>
          <w:rFonts w:hint="eastAsia" w:ascii="宋体" w:hAnsi="宋体" w:eastAsia="宋体" w:cs="宋体"/>
          <w:sz w:val="24"/>
          <w:szCs w:val="24"/>
        </w:rPr>
        <w:t>电，买方仅将循环水接口</w:t>
      </w:r>
      <w:r>
        <w:rPr>
          <w:rFonts w:hint="eastAsia" w:ascii="宋体" w:hAnsi="宋体" w:eastAsia="宋体" w:cs="宋体"/>
          <w:sz w:val="24"/>
          <w:szCs w:val="24"/>
          <w:lang w:val="en-US" w:eastAsia="zh-CN"/>
        </w:rPr>
        <w:t>和</w:t>
      </w:r>
      <w:r>
        <w:rPr>
          <w:rFonts w:hint="eastAsia" w:ascii="宋体" w:hAnsi="宋体" w:eastAsia="宋体" w:cs="宋体"/>
          <w:sz w:val="24"/>
          <w:szCs w:val="24"/>
        </w:rPr>
        <w:t>配电柜走至</w:t>
      </w:r>
      <w:r>
        <w:rPr>
          <w:rFonts w:hint="eastAsia" w:ascii="宋体" w:hAnsi="宋体" w:eastAsia="宋体" w:cs="宋体"/>
          <w:sz w:val="24"/>
          <w:szCs w:val="24"/>
          <w:lang w:val="en-US" w:eastAsia="zh-CN"/>
        </w:rPr>
        <w:t>试验台放置位置附近</w:t>
      </w:r>
      <w:r>
        <w:rPr>
          <w:rFonts w:hint="eastAsia" w:ascii="宋体" w:hAnsi="宋体" w:eastAsia="宋体" w:cs="宋体"/>
          <w:sz w:val="24"/>
          <w:szCs w:val="24"/>
        </w:rPr>
        <w:t>，其后所有</w:t>
      </w:r>
      <w:r>
        <w:rPr>
          <w:rFonts w:hint="eastAsia" w:ascii="宋体" w:hAnsi="宋体" w:eastAsia="宋体" w:cs="宋体"/>
          <w:sz w:val="24"/>
          <w:szCs w:val="24"/>
          <w:lang w:val="en-US" w:eastAsia="zh-CN"/>
        </w:rPr>
        <w:t>水</w:t>
      </w:r>
      <w:r>
        <w:rPr>
          <w:rFonts w:hint="eastAsia" w:ascii="宋体" w:hAnsi="宋体" w:eastAsia="宋体" w:cs="宋体"/>
          <w:sz w:val="24"/>
          <w:szCs w:val="24"/>
        </w:rPr>
        <w:t>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电</w:t>
      </w:r>
      <w:r>
        <w:rPr>
          <w:rFonts w:hint="eastAsia" w:ascii="宋体" w:hAnsi="宋体" w:eastAsia="宋体" w:cs="宋体"/>
          <w:sz w:val="24"/>
          <w:szCs w:val="24"/>
        </w:rPr>
        <w:t>线、桥架等均由卖方负责。</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30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2" w:name="_Toc169605883"/>
    </w:p>
    <w:p>
      <w:pPr>
        <w:pStyle w:val="17"/>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2"/>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420" w:lineRule="exact"/>
        <w:rPr>
          <w:rFonts w:ascii="宋体" w:hAnsi="宋体" w:eastAsia="宋体" w:cs="宋体"/>
          <w:sz w:val="24"/>
          <w:szCs w:val="24"/>
          <w:highlight w:val="none"/>
        </w:rPr>
      </w:pPr>
      <w:r>
        <w:rPr>
          <w:rFonts w:hint="eastAsia" w:ascii="宋体" w:hAnsi="宋体" w:eastAsia="宋体" w:cs="宋体"/>
          <w:b/>
          <w:bCs/>
          <w:sz w:val="24"/>
          <w:szCs w:val="24"/>
        </w:rPr>
        <w:t>二、供货地点：</w:t>
      </w:r>
      <w:r>
        <w:rPr>
          <w:rFonts w:hint="eastAsia" w:ascii="宋体" w:hAnsi="宋体" w:eastAsia="宋体" w:cs="宋体"/>
          <w:color w:val="000000"/>
          <w:sz w:val="24"/>
          <w:szCs w:val="24"/>
          <w:highlight w:val="none"/>
          <w:u w:val="single"/>
        </w:rPr>
        <w:t>济南市章丘区世纪大道7777号重汽工业园</w:t>
      </w:r>
      <w:r>
        <w:rPr>
          <w:rFonts w:hint="eastAsia" w:ascii="宋体" w:hAnsi="宋体" w:eastAsia="宋体" w:cs="宋体"/>
          <w:color w:val="000000"/>
          <w:sz w:val="24"/>
          <w:szCs w:val="24"/>
          <w:highlight w:val="none"/>
          <w:u w:val="single"/>
          <w:lang w:val="en-US" w:eastAsia="zh-CN"/>
        </w:rPr>
        <w:t>济南商用车有限公司车架部电泳车间</w:t>
      </w:r>
      <w:r>
        <w:rPr>
          <w:rFonts w:hint="eastAsia" w:ascii="宋体" w:hAnsi="宋体" w:eastAsia="宋体" w:cs="宋体"/>
          <w:sz w:val="24"/>
          <w:szCs w:val="24"/>
          <w:highlight w:val="none"/>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color w:val="FF0000"/>
          <w:sz w:val="24"/>
          <w:szCs w:val="24"/>
          <w:highlight w:val="yellow"/>
          <w:u w:val="single"/>
          <w:lang w:val="en-US" w:eastAsia="zh-CN"/>
        </w:rPr>
        <w:t>30</w:t>
      </w:r>
      <w:r>
        <w:rPr>
          <w:rFonts w:hint="eastAsia" w:ascii="宋体" w:hAnsi="宋体" w:eastAsia="宋体" w:cs="宋体"/>
          <w:sz w:val="24"/>
          <w:szCs w:val="24"/>
          <w:highlight w:val="none"/>
        </w:rPr>
        <w:t>个日历日之内交货至供货地点</w:t>
      </w:r>
      <w:r>
        <w:rPr>
          <w:rFonts w:ascii="宋体" w:hAnsi="宋体" w:eastAsia="宋体" w:cs="宋体"/>
          <w:sz w:val="24"/>
          <w:szCs w:val="24"/>
          <w:highlight w:val="none"/>
        </w:rPr>
        <w:t>。</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2.接续30个日历日之内安装调试完毕。</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3.接续30个日历日之内完成终验收。</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3"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3"/>
    </w:p>
    <w:p>
      <w:pPr>
        <w:pStyle w:val="118"/>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highlight w:val="yellow"/>
          <w:u w:val="single"/>
        </w:rPr>
        <w:t xml:space="preserve"> </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8"/>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w:t>
      </w:r>
      <w:r>
        <w:rPr>
          <w:rFonts w:hint="eastAsia" w:ascii="宋体" w:hAnsi="宋体" w:eastAsia="宋体" w:cs="宋体"/>
          <w:color w:val="000000"/>
          <w:sz w:val="24"/>
          <w:szCs w:val="24"/>
          <w:highlight w:val="none"/>
        </w:rPr>
        <w:t>于</w:t>
      </w:r>
      <w:r>
        <w:rPr>
          <w:rFonts w:hint="eastAsia" w:ascii="宋体" w:hAnsi="宋体" w:eastAsia="宋体" w:cs="宋体"/>
          <w:color w:val="000000"/>
          <w:sz w:val="24"/>
          <w:szCs w:val="24"/>
          <w:highlight w:val="none"/>
          <w:u w:val="single"/>
          <w:shd w:val="pct10" w:color="auto" w:fill="FFFFFF"/>
          <w:lang w:val="en-US" w:eastAsia="zh-CN"/>
        </w:rPr>
        <w:t>3</w:t>
      </w:r>
      <w:r>
        <w:rPr>
          <w:rFonts w:hint="eastAsia" w:ascii="宋体" w:hAnsi="宋体" w:eastAsia="宋体" w:cs="宋体"/>
          <w:color w:val="000000"/>
          <w:sz w:val="24"/>
          <w:szCs w:val="24"/>
          <w:highlight w:val="none"/>
        </w:rPr>
        <w:t>个</w:t>
      </w:r>
      <w:r>
        <w:rPr>
          <w:rFonts w:hint="eastAsia" w:ascii="宋体" w:hAnsi="宋体" w:eastAsia="宋体" w:cs="宋体"/>
          <w:color w:val="000000"/>
          <w:sz w:val="24"/>
          <w:szCs w:val="24"/>
        </w:rPr>
        <w:t>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8"/>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8"/>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8"/>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17"/>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4" w:name="_Toc465187646"/>
      <w:r>
        <w:rPr>
          <w:rFonts w:hint="eastAsia" w:ascii="Calibri" w:hAnsi="Calibri" w:eastAsia="宋体" w:cs="Times New Roman"/>
          <w:b/>
          <w:bCs/>
          <w:kern w:val="44"/>
          <w:sz w:val="28"/>
          <w:szCs w:val="28"/>
        </w:rPr>
        <w:t>第五章  预验收和终验收</w:t>
      </w:r>
      <w:bookmarkEnd w:id="44"/>
    </w:p>
    <w:p>
      <w:pPr>
        <w:pStyle w:val="118"/>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8"/>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8"/>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2.终验收一般条件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2.6 货物质量、技术性能等，达到签定的技术标书和合同规定的终验收标准。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3.终验收基本要求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出现下列问题之一，视作验收失败：</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val="en-US" w:eastAsia="zh-CN"/>
        </w:rPr>
        <w:t>设备</w:t>
      </w:r>
      <w:r>
        <w:rPr>
          <w:rFonts w:hint="eastAsia" w:ascii="宋体" w:hAnsi="宋体" w:eastAsia="宋体" w:cs="宋体"/>
          <w:color w:val="auto"/>
          <w:sz w:val="24"/>
          <w:szCs w:val="24"/>
          <w:highlight w:val="none"/>
        </w:rPr>
        <w:t>验收时，其参数无法满足招标书中的技术要求。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在整个验收过程中发生关键零部件损坏或重大故障；</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 一般性故障超过</w:t>
      </w:r>
      <w:r>
        <w:rPr>
          <w:rFonts w:hint="eastAsia" w:ascii="宋体" w:hAnsi="宋体" w:eastAsia="宋体" w:cs="宋体"/>
          <w:color w:val="auto"/>
          <w:sz w:val="24"/>
          <w:szCs w:val="24"/>
          <w:highlight w:val="none"/>
          <w:u w:val="single"/>
          <w:shd w:val="pct10" w:color="auto" w:fill="FFFFFF"/>
        </w:rPr>
        <w:t>2</w:t>
      </w:r>
      <w:r>
        <w:rPr>
          <w:rFonts w:hint="eastAsia" w:ascii="宋体" w:hAnsi="宋体" w:eastAsia="宋体" w:cs="宋体"/>
          <w:color w:val="auto"/>
          <w:sz w:val="24"/>
          <w:szCs w:val="24"/>
          <w:highlight w:val="none"/>
        </w:rPr>
        <w:t>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 更换的零部件货值超过总货值的</w:t>
      </w:r>
      <w:r>
        <w:rPr>
          <w:rFonts w:hint="eastAsia" w:ascii="宋体" w:hAnsi="宋体" w:eastAsia="宋体" w:cs="宋体"/>
          <w:color w:val="auto"/>
          <w:sz w:val="24"/>
          <w:szCs w:val="24"/>
          <w:highlight w:val="none"/>
          <w:u w:val="single"/>
          <w:shd w:val="pct10" w:color="auto" w:fill="FFFFFF"/>
        </w:rPr>
        <w:t>1</w:t>
      </w:r>
      <w:r>
        <w:rPr>
          <w:rFonts w:hint="eastAsia" w:ascii="宋体" w:hAnsi="宋体" w:eastAsia="宋体" w:cs="宋体"/>
          <w:color w:val="auto"/>
          <w:sz w:val="24"/>
          <w:szCs w:val="24"/>
          <w:highlight w:val="none"/>
        </w:rPr>
        <w:t>%。</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累计负载运行实际性能（或生产率）达不到合同规定；</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终验收原则上要求一次完成。若一次验收不成功，最多允许两次；如果出现第三次验收失败，重新作价或退货；</w:t>
      </w:r>
    </w:p>
    <w:p>
      <w:pPr>
        <w:pStyle w:val="134"/>
        <w:widowControl/>
        <w:numPr>
          <w:ilvl w:val="1"/>
          <w:numId w:val="11"/>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设备安装调试完成后，再需要经过一个考核期的实际运转，考核整个系统的可靠性，考核期不少于30个工作日，考核期间不得出现影响设备使用性能的重要故障或重要部件损坏，考核期满足要求后进行最终验收；</w:t>
      </w:r>
    </w:p>
    <w:p>
      <w:pPr>
        <w:pStyle w:val="134"/>
        <w:widowControl/>
        <w:numPr>
          <w:ilvl w:val="1"/>
          <w:numId w:val="11"/>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由买方和卖方共同组织设备的终验收，所提供测试系统设备必须满足本技术协议全部技术要求，验收内容应包含但不仅限于以下内容：</w:t>
      </w:r>
    </w:p>
    <w:p>
      <w:pPr>
        <w:pStyle w:val="134"/>
        <w:widowControl/>
        <w:numPr>
          <w:ilvl w:val="0"/>
          <w:numId w:val="12"/>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yellow"/>
          <w:lang w:val="en-US" w:eastAsia="zh-CN" w:bidi="ar-SA"/>
        </w:rPr>
        <w:t>第三方废气检测报告</w:t>
      </w:r>
      <w:r>
        <w:rPr>
          <w:rFonts w:hint="eastAsia" w:ascii="宋体" w:hAnsi="宋体" w:eastAsia="宋体" w:cs="宋体"/>
          <w:color w:val="auto"/>
          <w:kern w:val="2"/>
          <w:sz w:val="24"/>
          <w:szCs w:val="24"/>
          <w:highlight w:val="none"/>
          <w:lang w:val="en-US" w:eastAsia="zh-CN" w:bidi="ar-SA"/>
        </w:rPr>
        <w:t>；</w:t>
      </w:r>
    </w:p>
    <w:p>
      <w:pPr>
        <w:pStyle w:val="134"/>
        <w:widowControl/>
        <w:numPr>
          <w:ilvl w:val="0"/>
          <w:numId w:val="12"/>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设备关键元器件品牌应符合技术要求。</w:t>
      </w:r>
    </w:p>
    <w:p>
      <w:pPr>
        <w:pStyle w:val="134"/>
        <w:widowControl/>
        <w:numPr>
          <w:ilvl w:val="0"/>
          <w:numId w:val="12"/>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供货范围应满足技术要求。</w:t>
      </w:r>
    </w:p>
    <w:p>
      <w:pPr>
        <w:pStyle w:val="134"/>
        <w:widowControl/>
        <w:numPr>
          <w:ilvl w:val="0"/>
          <w:numId w:val="12"/>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技术资料及相关技术文件；</w:t>
      </w:r>
    </w:p>
    <w:p>
      <w:pPr>
        <w:pStyle w:val="134"/>
        <w:widowControl/>
        <w:numPr>
          <w:ilvl w:val="0"/>
          <w:numId w:val="12"/>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备件及耗材清单；</w:t>
      </w:r>
    </w:p>
    <w:p>
      <w:pPr>
        <w:pStyle w:val="134"/>
        <w:widowControl/>
        <w:numPr>
          <w:ilvl w:val="1"/>
          <w:numId w:val="11"/>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由买方和卖方共同编制终验收报告并签字确认；</w:t>
      </w:r>
    </w:p>
    <w:p>
      <w:pPr>
        <w:pStyle w:val="134"/>
        <w:widowControl/>
        <w:numPr>
          <w:ilvl w:val="1"/>
          <w:numId w:val="11"/>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终验收期间，卖方自行负责交通、食宿、保险等费用；</w:t>
      </w:r>
    </w:p>
    <w:p>
      <w:pPr>
        <w:pStyle w:val="134"/>
        <w:widowControl/>
        <w:numPr>
          <w:ilvl w:val="1"/>
          <w:numId w:val="11"/>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最终验收以双方签订的合同和条件为准，逐项进行最终验收；</w:t>
      </w:r>
    </w:p>
    <w:p>
      <w:pPr>
        <w:pStyle w:val="134"/>
        <w:widowControl/>
        <w:numPr>
          <w:ilvl w:val="1"/>
          <w:numId w:val="11"/>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对于终验收买方提出的问题，卖方应在15个工作日内完成整改。</w:t>
      </w:r>
    </w:p>
    <w:p>
      <w:pPr>
        <w:pStyle w:val="134"/>
        <w:widowControl/>
        <w:numPr>
          <w:ilvl w:val="1"/>
          <w:numId w:val="11"/>
        </w:numPr>
        <w:spacing w:line="360" w:lineRule="auto"/>
        <w:ind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终验收通过后买卖双方共同签署终验收报告，并移交、核对全部供货范围内物品。</w:t>
      </w:r>
    </w:p>
    <w:p>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 终验收通过后买卖双方共同签署终验收报告，并移交、核对全部供货范围内物品。</w:t>
      </w:r>
    </w:p>
    <w:p>
      <w:pPr>
        <w:pStyle w:val="17"/>
        <w:spacing w:line="360" w:lineRule="auto"/>
      </w:pPr>
    </w:p>
    <w:p>
      <w:pPr>
        <w:pStyle w:val="131"/>
        <w:spacing w:line="360" w:lineRule="auto"/>
        <w:outlineLvl w:val="1"/>
        <w:rPr>
          <w:rFonts w:eastAsia="宋体"/>
          <w:b/>
          <w:bCs w:val="0"/>
          <w:iCs/>
          <w:color w:val="auto"/>
          <w:sz w:val="28"/>
        </w:rPr>
      </w:pPr>
      <w:bookmarkStart w:id="45" w:name="_Toc465187647"/>
      <w:r>
        <w:rPr>
          <w:rFonts w:eastAsia="宋体"/>
          <w:b/>
          <w:bCs w:val="0"/>
          <w:iCs/>
          <w:color w:val="auto"/>
          <w:sz w:val="28"/>
        </w:rPr>
        <w:t>第六章  投标技术文件一般要求</w:t>
      </w:r>
      <w:bookmarkEnd w:id="45"/>
    </w:p>
    <w:p>
      <w:pPr>
        <w:pStyle w:val="118"/>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6"/>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8"/>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8"/>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footerReference r:id="rId15" w:type="first"/>
          <w:footerReference r:id="rId14" w:type="default"/>
          <w:pgSz w:w="11906" w:h="16838"/>
          <w:pgMar w:top="1588" w:right="1418" w:bottom="1134" w:left="1418" w:header="851" w:footer="992" w:gutter="0"/>
          <w:pgNumType w:fmt="numberInDash"/>
          <w:cols w:space="720" w:num="1"/>
          <w:titlePg/>
          <w:docGrid w:linePitch="312" w:charSpace="0"/>
        </w:sectPr>
      </w:pPr>
      <w:bookmarkStart w:id="46" w:name="_Toc465187648"/>
    </w:p>
    <w:p>
      <w:pPr>
        <w:pStyle w:val="131"/>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46"/>
    </w:p>
    <w:p>
      <w:pPr>
        <w:pStyle w:val="118"/>
        <w:spacing w:line="360" w:lineRule="auto"/>
        <w:rPr>
          <w:rFonts w:ascii="宋体" w:hAnsi="宋体" w:cs="宋体"/>
          <w:color w:val="auto"/>
        </w:rPr>
      </w:pPr>
      <w:r>
        <w:rPr>
          <w:rFonts w:hint="eastAsia" w:ascii="宋体" w:hAnsi="宋体" w:cs="宋体"/>
          <w:color w:val="auto"/>
        </w:rPr>
        <w:t>一、要求</w:t>
      </w:r>
    </w:p>
    <w:p>
      <w:pPr>
        <w:pStyle w:val="20"/>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8"/>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17"/>
        <w:spacing w:line="360" w:lineRule="auto"/>
        <w:rPr>
          <w:rFonts w:hint="eastAsia" w:hAnsi="宋体" w:eastAsia="宋体" w:cs="宋体"/>
          <w:sz w:val="24"/>
          <w:szCs w:val="24"/>
        </w:rPr>
        <w:sectPr>
          <w:headerReference r:id="rId16" w:type="default"/>
          <w:footerReference r:id="rId17" w:type="default"/>
          <w:pgSz w:w="11907" w:h="16840"/>
          <w:pgMar w:top="1304" w:right="1418" w:bottom="1304" w:left="1418" w:header="724" w:footer="851" w:gutter="0"/>
          <w:cols w:space="720" w:num="1"/>
          <w:docGrid w:linePitch="290" w:charSpace="-3931"/>
        </w:sectPr>
      </w:pPr>
    </w:p>
    <w:p>
      <w:pPr>
        <w:pStyle w:val="17"/>
      </w:pPr>
    </w:p>
    <w:p>
      <w:pPr>
        <w:spacing w:line="360" w:lineRule="auto"/>
        <w:jc w:val="center"/>
        <w:outlineLvl w:val="0"/>
        <w:rPr>
          <w:rFonts w:ascii="宋体" w:hAnsi="Calibri" w:eastAsia="宋体" w:cs="Times New Roman"/>
          <w:b/>
          <w:sz w:val="36"/>
          <w:szCs w:val="36"/>
        </w:rPr>
      </w:pPr>
      <w:bookmarkStart w:id="47"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7"/>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8"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9" w:name="_Toc17619"/>
      <w:bookmarkStart w:id="50" w:name="_Toc16330018"/>
      <w:bookmarkStart w:id="51" w:name="_Toc11930"/>
      <w:bookmarkStart w:id="52" w:name="_Toc11823"/>
      <w:r>
        <w:rPr>
          <w:rFonts w:hint="eastAsia" w:ascii="黑体" w:hAnsi="黑体" w:eastAsia="黑体" w:cstheme="minorEastAsia"/>
          <w:b w:val="0"/>
          <w:sz w:val="28"/>
          <w:szCs w:val="28"/>
        </w:rPr>
        <w:t>1 合同设备</w:t>
      </w:r>
      <w:bookmarkEnd w:id="49"/>
      <w:bookmarkEnd w:id="50"/>
      <w:bookmarkEnd w:id="51"/>
      <w:bookmarkEnd w:id="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3" w:name="_Toc29026"/>
      <w:bookmarkStart w:id="54" w:name="_Toc22800"/>
      <w:bookmarkStart w:id="55"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6" w:name="_Toc16330019"/>
      <w:r>
        <w:rPr>
          <w:rFonts w:hint="eastAsia" w:ascii="黑体" w:hAnsi="黑体" w:eastAsia="黑体" w:cstheme="minorEastAsia"/>
          <w:b w:val="0"/>
          <w:sz w:val="28"/>
          <w:szCs w:val="28"/>
        </w:rPr>
        <w:t>2 包装</w:t>
      </w:r>
      <w:bookmarkEnd w:id="53"/>
      <w:bookmarkEnd w:id="54"/>
      <w:bookmarkEnd w:id="55"/>
      <w:bookmarkEnd w:id="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7" w:name="_Toc27453"/>
      <w:bookmarkStart w:id="58" w:name="_Toc27144"/>
      <w:bookmarkStart w:id="59" w:name="_Toc16330020"/>
      <w:bookmarkStart w:id="60" w:name="_Toc2833"/>
      <w:r>
        <w:rPr>
          <w:rFonts w:hint="eastAsia" w:ascii="黑体" w:hAnsi="黑体" w:eastAsia="黑体" w:cstheme="minorEastAsia"/>
          <w:b w:val="0"/>
          <w:sz w:val="28"/>
          <w:szCs w:val="28"/>
        </w:rPr>
        <w:t>3 运输标记</w:t>
      </w:r>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1" w:name="_Toc7431"/>
      <w:bookmarkStart w:id="62" w:name="_Toc16133"/>
      <w:bookmarkStart w:id="63" w:name="_Toc16330021"/>
      <w:bookmarkStart w:id="64" w:name="_Toc10630"/>
      <w:r>
        <w:rPr>
          <w:rFonts w:hint="eastAsia" w:ascii="黑体" w:hAnsi="黑体" w:eastAsia="黑体" w:cstheme="minorEastAsia"/>
          <w:b w:val="0"/>
          <w:sz w:val="28"/>
          <w:szCs w:val="28"/>
        </w:rPr>
        <w:t>4 检验</w:t>
      </w:r>
      <w:bookmarkEnd w:id="61"/>
      <w:bookmarkEnd w:id="62"/>
      <w:bookmarkEnd w:id="63"/>
      <w:bookmarkEnd w:id="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19850"/>
      <w:bookmarkStart w:id="66" w:name="_Toc16330022"/>
      <w:bookmarkStart w:id="67" w:name="_Toc24467"/>
      <w:bookmarkStart w:id="68" w:name="_Toc11217"/>
      <w:r>
        <w:rPr>
          <w:rFonts w:hint="eastAsia" w:ascii="黑体" w:hAnsi="黑体" w:eastAsia="黑体" w:cstheme="minorEastAsia"/>
          <w:b w:val="0"/>
          <w:sz w:val="28"/>
          <w:szCs w:val="28"/>
        </w:rPr>
        <w:t>5 权利担保</w:t>
      </w:r>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14809"/>
      <w:bookmarkStart w:id="70" w:name="_Toc27500"/>
      <w:bookmarkStart w:id="71" w:name="_Toc11759"/>
      <w:bookmarkStart w:id="72" w:name="_Toc16330023"/>
      <w:r>
        <w:rPr>
          <w:rFonts w:hint="eastAsia" w:ascii="黑体" w:hAnsi="黑体" w:eastAsia="黑体" w:cstheme="minorEastAsia"/>
          <w:b w:val="0"/>
          <w:sz w:val="28"/>
          <w:szCs w:val="28"/>
        </w:rPr>
        <w:t>6 交货</w:t>
      </w:r>
      <w:bookmarkEnd w:id="69"/>
      <w:bookmarkEnd w:id="70"/>
      <w:bookmarkEnd w:id="71"/>
      <w:bookmarkEnd w:id="7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25510"/>
      <w:bookmarkStart w:id="74" w:name="_Toc16330024"/>
      <w:bookmarkStart w:id="75" w:name="_Toc8024"/>
      <w:bookmarkStart w:id="76" w:name="_Toc2984"/>
      <w:r>
        <w:rPr>
          <w:rFonts w:hint="eastAsia" w:ascii="黑体" w:hAnsi="黑体" w:eastAsia="黑体" w:cstheme="minorEastAsia"/>
          <w:b w:val="0"/>
          <w:sz w:val="28"/>
          <w:szCs w:val="28"/>
        </w:rPr>
        <w:t>7 安装、调试</w:t>
      </w:r>
      <w:bookmarkEnd w:id="73"/>
      <w:bookmarkEnd w:id="74"/>
      <w:bookmarkEnd w:id="75"/>
      <w:bookmarkEnd w:id="76"/>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14260"/>
      <w:bookmarkStart w:id="78" w:name="_Toc6350"/>
      <w:bookmarkStart w:id="79" w:name="_Toc14098"/>
      <w:bookmarkStart w:id="80" w:name="_Toc16330025"/>
      <w:r>
        <w:rPr>
          <w:rFonts w:hint="eastAsia" w:ascii="黑体" w:hAnsi="黑体" w:eastAsia="黑体" w:cstheme="minorEastAsia"/>
          <w:b w:val="0"/>
          <w:sz w:val="28"/>
          <w:szCs w:val="28"/>
        </w:rPr>
        <w:t>8 价款与支付</w:t>
      </w:r>
      <w:bookmarkEnd w:id="77"/>
      <w:bookmarkEnd w:id="78"/>
      <w:bookmarkEnd w:id="79"/>
      <w:bookmarkEnd w:id="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81" w:name="_Toc14676804"/>
      <w:bookmarkStart w:id="82"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81"/>
      <w:bookmarkEnd w:id="82"/>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25708"/>
      <w:bookmarkStart w:id="84" w:name="_Toc16330026"/>
      <w:bookmarkStart w:id="85" w:name="_Toc6726"/>
      <w:bookmarkStart w:id="86" w:name="_Toc24085"/>
      <w:r>
        <w:rPr>
          <w:rFonts w:hint="eastAsia" w:ascii="黑体" w:hAnsi="黑体" w:eastAsia="黑体" w:cstheme="minorEastAsia"/>
          <w:b w:val="0"/>
          <w:sz w:val="28"/>
          <w:szCs w:val="28"/>
        </w:rPr>
        <w:t>9 质量保证及售后服务</w:t>
      </w:r>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15570"/>
      <w:bookmarkStart w:id="88" w:name="_Toc16330027"/>
      <w:bookmarkStart w:id="89" w:name="_Toc10359"/>
      <w:bookmarkStart w:id="90" w:name="_Toc12927"/>
      <w:r>
        <w:rPr>
          <w:rFonts w:hint="eastAsia" w:ascii="黑体" w:hAnsi="黑体" w:eastAsia="黑体" w:cstheme="minorEastAsia"/>
          <w:b w:val="0"/>
          <w:sz w:val="28"/>
          <w:szCs w:val="28"/>
        </w:rPr>
        <w:t>10法定责任</w:t>
      </w:r>
      <w:bookmarkEnd w:id="87"/>
      <w:bookmarkEnd w:id="88"/>
      <w:bookmarkEnd w:id="89"/>
      <w:bookmarkEnd w:id="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27314"/>
      <w:bookmarkStart w:id="92" w:name="_Toc16330028"/>
      <w:bookmarkStart w:id="93" w:name="_Toc9708"/>
      <w:bookmarkStart w:id="94" w:name="_Toc30381"/>
      <w:r>
        <w:rPr>
          <w:rFonts w:hint="eastAsia" w:ascii="黑体" w:hAnsi="黑体" w:eastAsia="黑体" w:cstheme="minorEastAsia"/>
          <w:b w:val="0"/>
          <w:sz w:val="28"/>
          <w:szCs w:val="28"/>
        </w:rPr>
        <w:t>11 违约责任</w:t>
      </w:r>
      <w:bookmarkEnd w:id="91"/>
      <w:bookmarkEnd w:id="92"/>
      <w:bookmarkEnd w:id="93"/>
      <w:bookmarkEnd w:id="9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31554"/>
      <w:bookmarkStart w:id="96" w:name="_Toc1827"/>
      <w:bookmarkStart w:id="97" w:name="_Toc9172"/>
      <w:bookmarkStart w:id="98" w:name="_Toc16330029"/>
      <w:r>
        <w:rPr>
          <w:rFonts w:hint="eastAsia" w:ascii="黑体" w:hAnsi="黑体" w:eastAsia="黑体" w:cstheme="minorEastAsia"/>
          <w:b w:val="0"/>
          <w:sz w:val="28"/>
          <w:szCs w:val="28"/>
        </w:rPr>
        <w:t>12 合同的终止与解除</w:t>
      </w:r>
      <w:bookmarkEnd w:id="95"/>
      <w:bookmarkEnd w:id="96"/>
      <w:bookmarkEnd w:id="97"/>
      <w:bookmarkEnd w:id="9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16330030"/>
      <w:bookmarkStart w:id="100" w:name="_Toc8620"/>
      <w:bookmarkStart w:id="101" w:name="_Toc13671"/>
      <w:bookmarkStart w:id="102" w:name="_Toc31945"/>
      <w:r>
        <w:rPr>
          <w:rFonts w:hint="eastAsia" w:ascii="黑体" w:hAnsi="黑体" w:eastAsia="黑体" w:cstheme="minorEastAsia"/>
          <w:b w:val="0"/>
          <w:sz w:val="28"/>
          <w:szCs w:val="28"/>
        </w:rPr>
        <w:t>13 不可抗力</w:t>
      </w:r>
      <w:bookmarkEnd w:id="99"/>
      <w:bookmarkEnd w:id="100"/>
      <w:bookmarkEnd w:id="101"/>
      <w:bookmarkEnd w:id="10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16330031"/>
      <w:bookmarkStart w:id="104" w:name="_Toc31243"/>
      <w:bookmarkStart w:id="105" w:name="_Toc30389"/>
      <w:bookmarkStart w:id="106" w:name="_Toc637"/>
      <w:r>
        <w:rPr>
          <w:rFonts w:hint="eastAsia" w:ascii="黑体" w:hAnsi="黑体" w:eastAsia="黑体" w:cstheme="minorEastAsia"/>
          <w:b w:val="0"/>
          <w:sz w:val="28"/>
          <w:szCs w:val="28"/>
        </w:rPr>
        <w:t>14 通讯</w:t>
      </w:r>
      <w:bookmarkEnd w:id="103"/>
      <w:bookmarkEnd w:id="104"/>
      <w:bookmarkEnd w:id="105"/>
      <w:bookmarkEnd w:id="1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07" w:name="_Toc12984"/>
      <w:bookmarkStart w:id="108" w:name="_Toc16330032"/>
      <w:bookmarkStart w:id="109" w:name="_Toc9915"/>
      <w:bookmarkStart w:id="110" w:name="_Toc11290"/>
      <w:r>
        <w:rPr>
          <w:rFonts w:hint="eastAsia" w:ascii="黑体" w:hAnsi="黑体" w:eastAsia="黑体" w:cstheme="minorEastAsia"/>
          <w:b w:val="0"/>
          <w:sz w:val="28"/>
          <w:szCs w:val="28"/>
        </w:rPr>
        <w:t>15 适用法律及争议解决</w:t>
      </w:r>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16330033"/>
      <w:bookmarkStart w:id="112" w:name="_Toc23906"/>
      <w:bookmarkStart w:id="113" w:name="_Toc23765"/>
      <w:bookmarkStart w:id="114" w:name="_Toc18207"/>
      <w:r>
        <w:rPr>
          <w:rFonts w:hint="eastAsia" w:ascii="黑体" w:hAnsi="黑体" w:eastAsia="黑体" w:cstheme="minorEastAsia"/>
          <w:b w:val="0"/>
          <w:sz w:val="28"/>
          <w:szCs w:val="28"/>
        </w:rPr>
        <w:t>16 附件</w:t>
      </w:r>
      <w:bookmarkEnd w:id="111"/>
      <w:bookmarkEnd w:id="112"/>
      <w:bookmarkEnd w:id="113"/>
      <w:bookmarkEnd w:id="1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5" w:name="_Toc31331"/>
      <w:bookmarkStart w:id="116" w:name="_Toc17656"/>
      <w:bookmarkStart w:id="117" w:name="_Toc16330034"/>
      <w:bookmarkStart w:id="118" w:name="_Toc27202"/>
      <w:r>
        <w:rPr>
          <w:rFonts w:hint="eastAsia" w:ascii="黑体" w:hAnsi="黑体" w:eastAsia="黑体" w:cstheme="minorEastAsia"/>
          <w:b w:val="0"/>
          <w:sz w:val="28"/>
          <w:szCs w:val="28"/>
        </w:rPr>
        <w:t>17 其他规定</w:t>
      </w:r>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9" w:name="_Toc16330035"/>
      <w:bookmarkStart w:id="120" w:name="_Toc19077"/>
      <w:bookmarkStart w:id="121" w:name="_Toc17952"/>
      <w:bookmarkStart w:id="122"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23" w:name="_Toc3778"/>
      <w:bookmarkStart w:id="124" w:name="_Toc25120"/>
      <w:bookmarkStart w:id="125" w:name="_Toc24623"/>
      <w:bookmarkStart w:id="126" w:name="_Toc5379"/>
      <w:bookmarkStart w:id="127" w:name="_Toc16330037"/>
      <w:r>
        <w:rPr>
          <w:rFonts w:hint="eastAsia" w:asciiTheme="minorEastAsia" w:hAnsiTheme="minorEastAsia" w:eastAsiaTheme="minorEastAsia" w:cstheme="minorEastAsia"/>
          <w:sz w:val="20"/>
          <w:szCs w:val="20"/>
        </w:rPr>
        <w:br w:type="page"/>
      </w:r>
    </w:p>
    <w:p>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23"/>
      <w:bookmarkEnd w:id="124"/>
      <w:bookmarkEnd w:id="125"/>
      <w:bookmarkEnd w:id="126"/>
      <w:bookmarkEnd w:id="127"/>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28" w:name="_Toc14341849"/>
    </w:p>
    <w:p>
      <w:pPr>
        <w:ind w:right="480"/>
        <w:jc w:val="center"/>
        <w:rPr>
          <w:sz w:val="24"/>
          <w:szCs w:val="24"/>
        </w:rPr>
      </w:pPr>
      <w:r>
        <w:rPr>
          <w:rFonts w:hint="eastAsia" w:ascii="楷体_GB2312" w:hAnsi="宋体" w:eastAsia="楷体_GB2312"/>
          <w:sz w:val="24"/>
        </w:rPr>
        <w:t xml:space="preserve">                                    </w:t>
      </w:r>
    </w:p>
    <w:bookmarkEnd w:id="128"/>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8"/>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3" w:type="first"/>
          <w:headerReference r:id="rId21" w:type="defaul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9" w:name="_Toc639004"/>
      <w:bookmarkStart w:id="130" w:name="_Toc25811"/>
      <w:bookmarkStart w:id="131" w:name="_Toc212369550"/>
      <w:bookmarkStart w:id="132"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9"/>
      <w:bookmarkEnd w:id="130"/>
      <w:bookmarkEnd w:id="131"/>
      <w:bookmarkEnd w:id="13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中国重汽集团济南商用车有限公司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济南商用车公司电泳废气改造项目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济南商用车公司电泳废气改造项目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CGZX2024090107</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济南商用车公司电泳废气改造项目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济南商用车公司电泳废气改造项目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济南商用车公司电泳废气改造项目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3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济南商用车公司电泳废气改造项目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济南商用车公司电泳废气改造项目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电泳废气改造项目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128"/>
        <w:gridCol w:w="134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pPr>
              <w:spacing w:before="97" w:line="186" w:lineRule="auto"/>
              <w:ind w:left="304" w:leftChars="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128" w:type="dxa"/>
            <w:vAlign w:val="top"/>
          </w:tcPr>
          <w:p>
            <w:pPr>
              <w:spacing w:before="98" w:line="185" w:lineRule="auto"/>
              <w:ind w:left="1071" w:leftChars="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349" w:type="dxa"/>
            <w:vAlign w:val="top"/>
          </w:tcPr>
          <w:p>
            <w:pPr>
              <w:spacing w:before="99" w:line="183" w:lineRule="auto"/>
              <w:ind w:left="1075" w:leftChars="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pPr>
              <w:spacing w:before="99" w:line="183" w:lineRule="auto"/>
              <w:ind w:firstLine="422" w:firstLineChars="200"/>
              <w:rPr>
                <w:rFonts w:ascii="宋体" w:hAnsi="宋体" w:eastAsia="宋体" w:cs="宋体"/>
                <w:szCs w:val="21"/>
              </w:rPr>
            </w:pPr>
            <w:r>
              <w:rPr>
                <w:rFonts w:hint="eastAsia" w:ascii="宋体" w:hAnsi="宋体" w:eastAsia="宋体" w:cs="宋体"/>
                <w:b/>
                <w:bCs/>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1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3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hint="default" w:ascii="宋体" w:hAnsi="宋体" w:eastAsia="宋体" w:cstheme="minorBidi"/>
                <w:kern w:val="2"/>
                <w:sz w:val="21"/>
                <w:szCs w:val="21"/>
                <w:lang w:val="en-US" w:eastAsia="zh-CN" w:bidi="ar-SA"/>
              </w:rPr>
            </w:pPr>
            <w:r>
              <w:rPr>
                <w:rFonts w:hint="eastAsia" w:ascii="宋体" w:hAnsi="宋体" w:eastAsia="宋体" w:cs="宋体"/>
                <w:sz w:val="24"/>
                <w:szCs w:val="24"/>
              </w:rPr>
              <w:t>1</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二级活性炭吸附箱:设计风量33000m³/h</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hint="default" w:ascii="宋体" w:hAnsi="宋体" w:eastAsia="宋体" w:cstheme="minorBidi"/>
                <w:kern w:val="2"/>
                <w:sz w:val="21"/>
                <w:szCs w:val="21"/>
                <w:lang w:val="en-US" w:eastAsia="zh-CN" w:bidi="ar-SA"/>
              </w:rPr>
            </w:pPr>
            <w:r>
              <w:rPr>
                <w:rFonts w:hint="eastAsia" w:ascii="宋体" w:hAnsi="宋体" w:eastAsia="宋体" w:cs="宋体"/>
                <w:sz w:val="24"/>
                <w:szCs w:val="24"/>
              </w:rPr>
              <w:t>2</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风机</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hint="default" w:ascii="宋体" w:hAnsi="宋体" w:eastAsia="宋体" w:cstheme="minorBidi"/>
                <w:kern w:val="2"/>
                <w:sz w:val="21"/>
                <w:szCs w:val="21"/>
                <w:lang w:val="en-US" w:eastAsia="zh-CN" w:bidi="ar-SA"/>
              </w:rPr>
            </w:pPr>
            <w:r>
              <w:rPr>
                <w:rFonts w:hint="eastAsia" w:ascii="宋体" w:hAnsi="宋体" w:eastAsia="宋体" w:cs="宋体"/>
                <w:sz w:val="24"/>
                <w:szCs w:val="24"/>
              </w:rPr>
              <w:t>3</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镀锌螺旋管道</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default" w:ascii="宋体" w:hAnsi="宋体" w:eastAsia="宋体" w:cstheme="minorBidi"/>
                <w:kern w:val="2"/>
                <w:sz w:val="21"/>
                <w:szCs w:val="21"/>
                <w:lang w:val="en-US" w:eastAsia="zh-CN" w:bidi="ar-SA"/>
              </w:rPr>
            </w:pPr>
            <w:r>
              <w:rPr>
                <w:rFonts w:hint="eastAsia" w:ascii="宋体" w:hAnsi="宋体" w:eastAsia="宋体" w:cs="宋体"/>
                <w:sz w:val="24"/>
                <w:szCs w:val="24"/>
                <w:lang w:val="en-US" w:eastAsia="zh-CN"/>
              </w:rPr>
              <w:t>4</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碳钢管道</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pPr>
              <w:spacing w:line="360" w:lineRule="exact"/>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控制柜</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6</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桥架，线缆</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7</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平台及爬梯建设</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72"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委托第三方检测比对</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二级活性炭箱及主风机（含控制柜）搬迁危废库安装</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包装运输</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312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安装调试及培训服务</w:t>
            </w:r>
          </w:p>
        </w:tc>
        <w:tc>
          <w:tcPr>
            <w:tcW w:w="1349" w:type="dxa"/>
          </w:tcPr>
          <w:p>
            <w:pPr>
              <w:rPr>
                <w:rFonts w:ascii="Arial"/>
              </w:rPr>
            </w:pPr>
          </w:p>
        </w:tc>
        <w:tc>
          <w:tcPr>
            <w:tcW w:w="1120" w:type="dxa"/>
            <w:vAlign w:val="center"/>
          </w:tcPr>
          <w:p>
            <w:pPr>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000000" w:sz="4" w:space="0"/>
            </w:tcBorders>
          </w:tcPr>
          <w:p>
            <w:pPr>
              <w:jc w:val="center"/>
              <w:rPr>
                <w:rFonts w:ascii="宋体" w:hAnsi="宋体" w:eastAsia="宋体" w:cs="宋体"/>
                <w:spacing w:val="-6"/>
                <w:szCs w:val="21"/>
              </w:rPr>
            </w:pPr>
          </w:p>
        </w:tc>
        <w:tc>
          <w:tcPr>
            <w:tcW w:w="10918"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3"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4"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5"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6"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7"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济南商用车公司电泳废气改造项目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济南商用车公司电泳废气改造项目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济南商用车公司电泳废气改造项目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电泳废气改造项目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6"/>
        <w:tblpPr w:leftFromText="180" w:rightFromText="180" w:vertAnchor="text" w:horzAnchor="page" w:tblpX="1135" w:tblpY="197"/>
        <w:tblOverlap w:val="never"/>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542"/>
        <w:gridCol w:w="1165"/>
        <w:gridCol w:w="758"/>
        <w:gridCol w:w="5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46"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评审</w:t>
            </w:r>
          </w:p>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序号</w:t>
            </w:r>
          </w:p>
        </w:tc>
        <w:tc>
          <w:tcPr>
            <w:tcW w:w="632"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标准分</w:t>
            </w:r>
          </w:p>
        </w:tc>
        <w:tc>
          <w:tcPr>
            <w:tcW w:w="2930"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restar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技术</w:t>
            </w:r>
          </w:p>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w:t>
            </w:r>
          </w:p>
        </w:tc>
        <w:tc>
          <w:tcPr>
            <w:tcW w:w="632" w:type="pct"/>
            <w:vAlign w:val="center"/>
          </w:tcPr>
          <w:p>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rPr>
              <w:t>技术</w:t>
            </w:r>
            <w:r>
              <w:rPr>
                <w:rFonts w:hint="eastAsia" w:ascii="宋体" w:hAnsi="宋体" w:eastAsia="宋体" w:cs="宋体"/>
                <w:sz w:val="18"/>
                <w:szCs w:val="18"/>
                <w:lang w:val="en-US" w:eastAsia="zh-CN"/>
              </w:rPr>
              <w:t>要求</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40</w:t>
            </w:r>
          </w:p>
        </w:tc>
        <w:tc>
          <w:tcPr>
            <w:tcW w:w="2930" w:type="pct"/>
            <w:vAlign w:val="center"/>
          </w:tcPr>
          <w:p>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rPr>
            </w:pPr>
            <w:r>
              <w:rPr>
                <w:rFonts w:hint="eastAsia" w:ascii="宋体" w:hAnsi="宋体" w:eastAsia="宋体" w:cs="宋体"/>
                <w:bCs/>
                <w:sz w:val="18"/>
                <w:szCs w:val="18"/>
              </w:rPr>
              <w:t>投标文件中技术参数符合招标文件的要求</w:t>
            </w:r>
            <w:r>
              <w:rPr>
                <w:rFonts w:hint="eastAsia" w:ascii="宋体" w:hAnsi="宋体" w:eastAsia="宋体" w:cs="宋体"/>
                <w:bCs/>
                <w:sz w:val="18"/>
                <w:szCs w:val="18"/>
                <w:lang w:val="en-US" w:eastAsia="zh-CN"/>
              </w:rPr>
              <w:t>得30</w:t>
            </w:r>
            <w:r>
              <w:rPr>
                <w:rFonts w:hint="eastAsia" w:ascii="宋体" w:hAnsi="宋体" w:eastAsia="宋体" w:cs="宋体"/>
                <w:bCs/>
                <w:sz w:val="18"/>
                <w:szCs w:val="18"/>
              </w:rPr>
              <w:t>分，再详细考察其功能与项目需求的吻合性,有一处负偏离，扣</w:t>
            </w:r>
            <w:r>
              <w:rPr>
                <w:rFonts w:hint="eastAsia" w:ascii="宋体" w:hAnsi="宋体" w:eastAsia="宋体" w:cs="宋体"/>
                <w:bCs/>
                <w:sz w:val="18"/>
                <w:szCs w:val="18"/>
                <w:lang w:val="en-US" w:eastAsia="zh-CN"/>
              </w:rPr>
              <w:t>5</w:t>
            </w:r>
            <w:r>
              <w:rPr>
                <w:rFonts w:hint="eastAsia" w:ascii="宋体" w:hAnsi="宋体" w:eastAsia="宋体" w:cs="宋体"/>
                <w:bCs/>
                <w:sz w:val="18"/>
                <w:szCs w:val="18"/>
              </w:rPr>
              <w:t>分；有正偏离，且对项目存在实际改进作用，则加2分</w:t>
            </w:r>
            <w:r>
              <w:rPr>
                <w:rFonts w:hint="eastAsia" w:ascii="宋体" w:hAnsi="宋体" w:eastAsia="宋体" w:cs="宋体"/>
                <w:bCs/>
                <w:sz w:val="18"/>
                <w:szCs w:val="18"/>
                <w:lang w:eastAsia="zh-CN"/>
              </w:rPr>
              <w:t>，</w:t>
            </w:r>
            <w:r>
              <w:rPr>
                <w:rFonts w:hint="eastAsia" w:ascii="宋体" w:hAnsi="宋体" w:eastAsia="宋体" w:cs="宋体"/>
                <w:bCs/>
                <w:sz w:val="18"/>
                <w:szCs w:val="18"/>
                <w:lang w:val="en-US" w:eastAsia="zh-CN"/>
              </w:rPr>
              <w:t>满分40</w:t>
            </w:r>
            <w:r>
              <w:rPr>
                <w:rFonts w:hint="eastAsia" w:ascii="宋体" w:hAnsi="宋体" w:eastAsia="宋体" w:cs="宋体"/>
                <w:bCs/>
                <w:sz w:val="18"/>
                <w:szCs w:val="18"/>
              </w:rPr>
              <w:t>分。</w:t>
            </w:r>
          </w:p>
          <w:p>
            <w:pPr>
              <w:keepNext w:val="0"/>
              <w:keepLines w:val="0"/>
              <w:suppressLineNumbers w:val="0"/>
              <w:spacing w:before="0" w:beforeAutospacing="0" w:after="0" w:afterAutospacing="0" w:line="420" w:lineRule="exact"/>
              <w:ind w:left="0" w:right="0"/>
              <w:jc w:val="left"/>
              <w:rPr>
                <w:rFonts w:hint="default" w:eastAsia="宋体"/>
                <w:lang w:val="en-US" w:eastAsia="zh-CN"/>
              </w:rPr>
            </w:pPr>
            <w:r>
              <w:rPr>
                <w:rFonts w:hint="eastAsia" w:ascii="宋体" w:hAnsi="宋体" w:eastAsia="宋体" w:cs="宋体"/>
                <w:bCs/>
                <w:sz w:val="18"/>
                <w:szCs w:val="18"/>
                <w:lang w:val="en-US" w:eastAsia="zh-CN"/>
              </w:rPr>
              <w:t>注：加</w:t>
            </w:r>
            <w:r>
              <w:rPr>
                <w:rFonts w:hint="eastAsia" w:ascii="宋体" w:hAnsi="宋体" w:eastAsia="宋体" w:cs="宋体"/>
                <w:bCs/>
                <w:sz w:val="18"/>
                <w:szCs w:val="18"/>
              </w:rPr>
              <w:t>*</w:t>
            </w:r>
            <w:r>
              <w:rPr>
                <w:rFonts w:hint="eastAsia" w:ascii="宋体" w:hAnsi="宋体" w:eastAsia="宋体" w:cs="宋体"/>
                <w:bCs/>
                <w:sz w:val="18"/>
                <w:szCs w:val="18"/>
                <w:lang w:val="en-US" w:eastAsia="zh-CN"/>
              </w:rPr>
              <w:t>号的条款不允许有负偏离。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2</w:t>
            </w:r>
          </w:p>
        </w:tc>
        <w:tc>
          <w:tcPr>
            <w:tcW w:w="632"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业绩情况</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lang w:val="en-US" w:eastAsia="zh-CN"/>
              </w:rPr>
              <w:t>2</w:t>
            </w:r>
            <w:r>
              <w:rPr>
                <w:rFonts w:hint="eastAsia" w:ascii="宋体" w:hAnsi="宋体" w:eastAsia="宋体" w:cs="宋体"/>
                <w:color w:val="000000"/>
                <w:sz w:val="18"/>
                <w:szCs w:val="18"/>
              </w:rPr>
              <w:t>0</w:t>
            </w:r>
          </w:p>
        </w:tc>
        <w:tc>
          <w:tcPr>
            <w:tcW w:w="2930"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近三年</w:t>
            </w:r>
            <w:r>
              <w:rPr>
                <w:rFonts w:hint="eastAsia" w:ascii="宋体" w:hAnsi="宋体" w:eastAsia="宋体" w:cs="宋体"/>
                <w:bCs/>
                <w:sz w:val="18"/>
                <w:szCs w:val="18"/>
              </w:rPr>
              <w:t>投标人</w:t>
            </w:r>
            <w:r>
              <w:rPr>
                <w:rFonts w:hint="eastAsia" w:ascii="宋体" w:hAnsi="宋体" w:eastAsia="宋体" w:cs="宋体"/>
                <w:bCs/>
                <w:sz w:val="18"/>
                <w:szCs w:val="18"/>
                <w:lang w:val="en-US" w:eastAsia="zh-CN"/>
              </w:rPr>
              <w:t>有</w:t>
            </w:r>
            <w:r>
              <w:rPr>
                <w:rFonts w:hint="eastAsia" w:ascii="宋体" w:hAnsi="宋体" w:eastAsia="宋体" w:cs="宋体"/>
                <w:bCs/>
                <w:sz w:val="18"/>
                <w:szCs w:val="18"/>
              </w:rPr>
              <w:t>5家</w:t>
            </w:r>
            <w:r>
              <w:rPr>
                <w:rFonts w:hint="eastAsia" w:ascii="宋体" w:hAnsi="宋体" w:eastAsia="宋体" w:cs="宋体"/>
                <w:bCs/>
                <w:sz w:val="18"/>
                <w:szCs w:val="18"/>
                <w:lang w:val="en-US" w:eastAsia="zh-CN"/>
              </w:rPr>
              <w:t>相关环保业绩的</w:t>
            </w:r>
            <w:r>
              <w:rPr>
                <w:rFonts w:hint="eastAsia" w:ascii="宋体" w:hAnsi="宋体" w:eastAsia="宋体" w:cs="宋体"/>
                <w:bCs/>
                <w:sz w:val="18"/>
                <w:szCs w:val="18"/>
              </w:rPr>
              <w:t>得</w:t>
            </w:r>
            <w:r>
              <w:rPr>
                <w:rFonts w:hint="eastAsia" w:ascii="宋体" w:hAnsi="宋体" w:eastAsia="宋体" w:cs="宋体"/>
                <w:bCs/>
                <w:sz w:val="18"/>
                <w:szCs w:val="18"/>
                <w:lang w:val="en-US" w:eastAsia="zh-CN"/>
              </w:rPr>
              <w:t>20</w:t>
            </w:r>
            <w:r>
              <w:rPr>
                <w:rFonts w:hint="eastAsia" w:ascii="宋体" w:hAnsi="宋体" w:eastAsia="宋体" w:cs="宋体"/>
                <w:bCs/>
                <w:sz w:val="18"/>
                <w:szCs w:val="18"/>
              </w:rPr>
              <w:t>分</w:t>
            </w:r>
            <w:r>
              <w:rPr>
                <w:rFonts w:hint="eastAsia" w:ascii="宋体" w:hAnsi="宋体" w:eastAsia="宋体" w:cs="宋体"/>
                <w:bCs/>
                <w:sz w:val="18"/>
                <w:szCs w:val="18"/>
                <w:lang w:eastAsia="zh-CN"/>
              </w:rPr>
              <w:t>，</w:t>
            </w:r>
            <w:r>
              <w:rPr>
                <w:rFonts w:hint="eastAsia" w:ascii="宋体" w:hAnsi="宋体" w:eastAsia="宋体" w:cs="宋体"/>
                <w:bCs/>
                <w:sz w:val="18"/>
                <w:szCs w:val="18"/>
                <w:lang w:val="en-US" w:eastAsia="zh-CN"/>
              </w:rPr>
              <w:t>不足5家的每减少一家扣3分，业绩少于2家（包含2家）不得分。</w:t>
            </w:r>
          </w:p>
          <w:p>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rPr>
            </w:pPr>
            <w:r>
              <w:rPr>
                <w:rFonts w:hint="eastAsia" w:ascii="宋体" w:hAnsi="宋体" w:eastAsia="宋体" w:cs="宋体"/>
                <w:bCs/>
                <w:sz w:val="18"/>
                <w:szCs w:val="18"/>
              </w:rPr>
              <w:t>注：1.投标人应在投标文件中提供相应业绩清单和所投设备的销售合同关键页（含签订合同双方的单位名称、签订合同双方的落款盖章、设备型号规格、签订日期等信息）复印件。时间以合同签订日期为准。以上材料均须加盖投标人公章，未按要求提供上述材料的不得分。合同原件备查。</w:t>
            </w:r>
          </w:p>
          <w:p>
            <w:pPr>
              <w:keepNext w:val="0"/>
              <w:keepLines w:val="0"/>
              <w:suppressLineNumbers w:val="0"/>
              <w:spacing w:before="0" w:beforeAutospacing="0" w:after="0" w:afterAutospacing="0" w:line="420" w:lineRule="exact"/>
              <w:ind w:left="0" w:right="0"/>
              <w:jc w:val="left"/>
              <w:rPr>
                <w:rFonts w:hint="default"/>
              </w:rPr>
            </w:pPr>
            <w:r>
              <w:rPr>
                <w:rFonts w:hint="eastAsia" w:ascii="宋体" w:hAnsi="宋体" w:eastAsia="宋体" w:cs="宋体"/>
                <w:bCs/>
                <w:sz w:val="18"/>
                <w:szCs w:val="18"/>
                <w:lang w:val="en-US" w:eastAsia="zh-CN"/>
              </w:rPr>
              <w:t>2、业绩案例需均为真实案例如有作假，拉入供应商黑名单。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3</w:t>
            </w:r>
          </w:p>
        </w:tc>
        <w:tc>
          <w:tcPr>
            <w:tcW w:w="632" w:type="pct"/>
            <w:vAlign w:val="center"/>
          </w:tcPr>
          <w:p>
            <w:pPr>
              <w:keepNext w:val="0"/>
              <w:keepLines w:val="0"/>
              <w:suppressLineNumbers w:val="0"/>
              <w:spacing w:before="0" w:beforeAutospacing="0" w:after="0" w:afterAutospacing="0" w:line="420" w:lineRule="exact"/>
              <w:ind w:left="0" w:right="0"/>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质保期</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0"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质保期满足招标书要求得8分，能每延长一年加1分，满分10分。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答疑</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4</w:t>
            </w:r>
          </w:p>
        </w:tc>
        <w:tc>
          <w:tcPr>
            <w:tcW w:w="632"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0"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lang w:val="en-US" w:eastAsia="zh-CN"/>
              </w:rPr>
            </w:pPr>
            <w:r>
              <w:rPr>
                <w:rFonts w:hint="eastAsia" w:ascii="宋体" w:hAnsi="宋体" w:eastAsia="宋体" w:cs="宋体"/>
                <w:bCs/>
                <w:sz w:val="18"/>
                <w:szCs w:val="18"/>
              </w:rPr>
              <w:t>投标人代表对方案、技术优势的讲解，以及就该项目难点回答</w:t>
            </w:r>
            <w:r>
              <w:rPr>
                <w:rFonts w:hint="eastAsia" w:ascii="宋体" w:hAnsi="宋体" w:eastAsia="宋体" w:cs="宋体"/>
                <w:bCs/>
                <w:sz w:val="18"/>
                <w:szCs w:val="18"/>
                <w:lang w:eastAsia="zh-CN"/>
              </w:rPr>
              <w:t>评标委员会成员</w:t>
            </w:r>
            <w:r>
              <w:rPr>
                <w:rFonts w:hint="eastAsia" w:ascii="宋体" w:hAnsi="宋体" w:eastAsia="宋体" w:cs="宋体"/>
                <w:bCs/>
                <w:sz w:val="18"/>
                <w:szCs w:val="18"/>
              </w:rPr>
              <w:t>现场提问。</w:t>
            </w:r>
            <w:r>
              <w:rPr>
                <w:rFonts w:hint="eastAsia" w:ascii="宋体" w:hAnsi="宋体" w:eastAsia="宋体" w:cs="宋体"/>
                <w:sz w:val="18"/>
                <w:szCs w:val="18"/>
              </w:rPr>
              <w:t>按照优、良、一般进行赋分，优得</w:t>
            </w:r>
            <w:r>
              <w:rPr>
                <w:rFonts w:hint="eastAsia" w:ascii="宋体" w:hAnsi="宋体" w:eastAsia="宋体" w:cs="宋体"/>
                <w:sz w:val="18"/>
                <w:szCs w:val="18"/>
                <w:lang w:val="en-US" w:eastAsia="zh-CN"/>
              </w:rPr>
              <w:t>10</w:t>
            </w:r>
            <w:r>
              <w:rPr>
                <w:rFonts w:hint="eastAsia" w:ascii="宋体" w:hAnsi="宋体" w:eastAsia="宋体" w:cs="宋体"/>
                <w:sz w:val="18"/>
                <w:szCs w:val="18"/>
              </w:rPr>
              <w:t>分，良得</w:t>
            </w:r>
            <w:r>
              <w:rPr>
                <w:rFonts w:hint="eastAsia" w:ascii="宋体" w:hAnsi="宋体" w:eastAsia="宋体" w:cs="宋体"/>
                <w:sz w:val="18"/>
                <w:szCs w:val="18"/>
                <w:lang w:val="en-US" w:eastAsia="zh-CN"/>
              </w:rPr>
              <w:t>5</w:t>
            </w:r>
            <w:r>
              <w:rPr>
                <w:rFonts w:hint="eastAsia" w:ascii="宋体" w:hAnsi="宋体" w:eastAsia="宋体" w:cs="宋体"/>
                <w:sz w:val="18"/>
                <w:szCs w:val="18"/>
              </w:rPr>
              <w:t>分，一般得0分。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restar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售后服务</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632"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lang w:eastAsia="zh-CN"/>
              </w:rPr>
            </w:pPr>
            <w:r>
              <w:rPr>
                <w:rFonts w:hint="eastAsia" w:ascii="宋体" w:hAnsi="宋体" w:eastAsia="宋体" w:cs="宋体"/>
                <w:bCs/>
                <w:sz w:val="18"/>
                <w:szCs w:val="18"/>
                <w:lang w:eastAsia="zh-CN"/>
              </w:rPr>
              <w:t>供货周期及工期进度计划</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bCs/>
                <w:sz w:val="18"/>
                <w:szCs w:val="18"/>
                <w:lang w:eastAsia="zh-CN"/>
              </w:rPr>
            </w:pPr>
            <w:r>
              <w:rPr>
                <w:rFonts w:hint="eastAsia" w:ascii="宋体" w:hAnsi="宋体" w:eastAsia="宋体" w:cs="宋体"/>
                <w:bCs/>
                <w:sz w:val="18"/>
                <w:szCs w:val="18"/>
                <w:lang w:eastAsia="zh-CN"/>
              </w:rPr>
              <w:t>6</w:t>
            </w:r>
          </w:p>
        </w:tc>
        <w:tc>
          <w:tcPr>
            <w:tcW w:w="2930"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lang w:val="en-US" w:eastAsia="zh-CN"/>
              </w:rPr>
            </w:pPr>
            <w:r>
              <w:rPr>
                <w:rFonts w:hint="eastAsia" w:ascii="宋体" w:hAnsi="宋体" w:eastAsia="宋体" w:cs="宋体"/>
                <w:bCs/>
                <w:color w:val="auto"/>
                <w:sz w:val="18"/>
                <w:szCs w:val="18"/>
                <w:highlight w:val="none"/>
                <w:lang w:eastAsia="zh-CN"/>
              </w:rPr>
              <w:t>满足要求得</w:t>
            </w:r>
            <w:r>
              <w:rPr>
                <w:rFonts w:hint="eastAsia" w:ascii="宋体" w:hAnsi="宋体" w:eastAsia="宋体" w:cs="宋体"/>
                <w:bCs/>
                <w:color w:val="auto"/>
                <w:sz w:val="18"/>
                <w:szCs w:val="18"/>
                <w:highlight w:val="none"/>
                <w:lang w:val="en-US" w:eastAsia="zh-CN"/>
              </w:rPr>
              <w:t>4</w:t>
            </w:r>
            <w:r>
              <w:rPr>
                <w:rFonts w:hint="eastAsia" w:ascii="宋体" w:hAnsi="宋体" w:eastAsia="宋体" w:cs="宋体"/>
                <w:bCs/>
                <w:color w:val="auto"/>
                <w:sz w:val="18"/>
                <w:szCs w:val="18"/>
                <w:highlight w:val="none"/>
                <w:lang w:eastAsia="zh-CN"/>
              </w:rPr>
              <w:t>分，</w:t>
            </w:r>
            <w:r>
              <w:rPr>
                <w:rFonts w:hint="eastAsia" w:ascii="宋体" w:hAnsi="宋体" w:eastAsia="宋体" w:cs="宋体"/>
                <w:bCs/>
                <w:color w:val="auto"/>
                <w:sz w:val="18"/>
                <w:szCs w:val="18"/>
                <w:highlight w:val="none"/>
                <w:lang w:val="en-US" w:eastAsia="zh-CN"/>
              </w:rPr>
              <w:t>每提前一周加1分。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6" w:hRule="atLeast"/>
        </w:trPr>
        <w:tc>
          <w:tcPr>
            <w:tcW w:w="346" w:type="pct"/>
            <w:vMerge w:val="continue"/>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7</w:t>
            </w:r>
          </w:p>
        </w:tc>
        <w:tc>
          <w:tcPr>
            <w:tcW w:w="632" w:type="pct"/>
            <w:shd w:val="clear" w:color="auto" w:fill="auto"/>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专业技术力量</w:t>
            </w:r>
          </w:p>
        </w:tc>
        <w:tc>
          <w:tcPr>
            <w:tcW w:w="411" w:type="pct"/>
            <w:shd w:val="clear" w:color="auto" w:fill="auto"/>
            <w:vAlign w:val="center"/>
          </w:tcPr>
          <w:p>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w:t>
            </w:r>
          </w:p>
        </w:tc>
        <w:tc>
          <w:tcPr>
            <w:tcW w:w="2930" w:type="pct"/>
            <w:shd w:val="clear" w:color="auto" w:fill="auto"/>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lang w:val="en-US" w:eastAsia="zh-CN"/>
              </w:rPr>
              <w:t>根据</w:t>
            </w:r>
            <w:r>
              <w:rPr>
                <w:rFonts w:hint="eastAsia" w:ascii="宋体" w:hAnsi="宋体" w:eastAsia="宋体" w:cs="宋体"/>
                <w:sz w:val="18"/>
                <w:szCs w:val="18"/>
              </w:rPr>
              <w:t>设备制造商装备制造能力、生产设备、加工工艺完善程度：由评标委员会成员独立进行客观、公正的评价，按照优、良、一般进行赋分，优得</w:t>
            </w:r>
            <w:r>
              <w:rPr>
                <w:rFonts w:hint="eastAsia" w:ascii="宋体" w:hAnsi="宋体" w:eastAsia="宋体" w:cs="宋体"/>
                <w:sz w:val="18"/>
                <w:szCs w:val="18"/>
                <w:lang w:val="en-US" w:eastAsia="zh-CN"/>
              </w:rPr>
              <w:t>8</w:t>
            </w:r>
            <w:r>
              <w:rPr>
                <w:rFonts w:hint="eastAsia" w:ascii="宋体" w:hAnsi="宋体" w:eastAsia="宋体" w:cs="宋体"/>
                <w:sz w:val="18"/>
                <w:szCs w:val="18"/>
              </w:rPr>
              <w:t>分，良得</w:t>
            </w:r>
            <w:r>
              <w:rPr>
                <w:rFonts w:hint="eastAsia" w:ascii="宋体" w:hAnsi="宋体" w:eastAsia="宋体" w:cs="宋体"/>
                <w:sz w:val="18"/>
                <w:szCs w:val="18"/>
                <w:lang w:val="en-US" w:eastAsia="zh-CN"/>
              </w:rPr>
              <w:t>4</w:t>
            </w:r>
            <w:r>
              <w:rPr>
                <w:rFonts w:hint="eastAsia" w:ascii="宋体" w:hAnsi="宋体" w:eastAsia="宋体" w:cs="宋体"/>
                <w:sz w:val="18"/>
                <w:szCs w:val="18"/>
              </w:rPr>
              <w:t>分，一般得0分。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8</w:t>
            </w:r>
          </w:p>
        </w:tc>
        <w:tc>
          <w:tcPr>
            <w:tcW w:w="632"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0" w:type="pct"/>
            <w:vAlign w:val="center"/>
          </w:tcPr>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lang w:eastAsia="zh-CN"/>
              </w:rPr>
            </w:pPr>
            <w:r>
              <w:rPr>
                <w:rFonts w:hint="eastAsia" w:ascii="宋体" w:hAnsi="宋体" w:eastAsia="宋体" w:cs="宋体"/>
                <w:sz w:val="18"/>
                <w:szCs w:val="18"/>
              </w:rPr>
              <w:t>1.有完整的售后服务体系，有相应的服务承诺和具体的保证措施；</w:t>
            </w:r>
          </w:p>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lang w:eastAsia="zh-CN"/>
              </w:rPr>
            </w:pPr>
            <w:r>
              <w:rPr>
                <w:rFonts w:hint="eastAsia" w:ascii="宋体" w:hAnsi="宋体" w:eastAsia="宋体" w:cs="宋体"/>
                <w:sz w:val="18"/>
                <w:szCs w:val="18"/>
              </w:rPr>
              <w:t>2.提供完备的本地化服务支持承诺，明确承诺到现场响应时间（根据响应时间长短）；</w:t>
            </w:r>
          </w:p>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lang w:eastAsia="zh-CN"/>
              </w:rPr>
            </w:pPr>
            <w:r>
              <w:rPr>
                <w:rFonts w:hint="eastAsia" w:ascii="宋体" w:hAnsi="宋体" w:eastAsia="宋体" w:cs="宋体"/>
                <w:sz w:val="18"/>
                <w:szCs w:val="18"/>
              </w:rPr>
              <w:t>3.投标人提供相应完善的培训计划；</w:t>
            </w:r>
          </w:p>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lang w:eastAsia="zh-CN"/>
              </w:rPr>
            </w:pPr>
            <w:r>
              <w:rPr>
                <w:rFonts w:hint="eastAsia" w:ascii="宋体" w:hAnsi="宋体" w:eastAsia="宋体" w:cs="宋体"/>
                <w:sz w:val="18"/>
                <w:szCs w:val="18"/>
              </w:rPr>
              <w:t>4.服务和支持的方式；</w:t>
            </w:r>
          </w:p>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rPr>
            </w:pPr>
            <w:r>
              <w:rPr>
                <w:rFonts w:hint="eastAsia" w:ascii="宋体" w:hAnsi="宋体" w:eastAsia="宋体" w:cs="宋体"/>
                <w:sz w:val="18"/>
                <w:szCs w:val="18"/>
              </w:rPr>
              <w:t>5.超出质保服务的措施。</w:t>
            </w:r>
          </w:p>
          <w:p>
            <w:pPr>
              <w:keepNext w:val="0"/>
              <w:keepLines w:val="0"/>
              <w:suppressLineNumbers w:val="0"/>
              <w:spacing w:before="0" w:beforeAutospacing="0" w:after="0" w:afterAutospacing="0" w:line="420" w:lineRule="exact"/>
              <w:ind w:left="0" w:right="0"/>
              <w:rPr>
                <w:rFonts w:hint="default"/>
              </w:rPr>
            </w:pPr>
            <w:r>
              <w:rPr>
                <w:rFonts w:hint="eastAsia" w:ascii="宋体" w:hAnsi="宋体" w:eastAsia="宋体" w:cs="宋体"/>
                <w:sz w:val="18"/>
                <w:szCs w:val="18"/>
                <w:lang w:val="en-US" w:eastAsia="zh-CN"/>
              </w:rPr>
              <w:t>根据以上问题，</w:t>
            </w:r>
            <w:r>
              <w:rPr>
                <w:rFonts w:hint="eastAsia" w:ascii="宋体" w:hAnsi="宋体" w:eastAsia="宋体" w:cs="宋体"/>
                <w:sz w:val="18"/>
                <w:szCs w:val="18"/>
              </w:rPr>
              <w:t>按照优、良、一般进行赋分，优得6分，良得4分，一般得2分。</w:t>
            </w:r>
          </w:p>
        </w:tc>
      </w:tr>
    </w:tbl>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rPr>
      </w:pPr>
    </w:p>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rPr>
      </w:pPr>
    </w:p>
    <w:p>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r>
        <w:rPr>
          <w:rFonts w:hint="eastAsia" w:ascii="宋体" w:hAnsi="宋体" w:eastAsia="宋体" w:cs="宋体"/>
          <w:sz w:val="18"/>
          <w:szCs w:val="18"/>
          <w:lang w:val="en-US" w:eastAsia="zh-CN"/>
        </w:rPr>
        <w:br w:type="page"/>
      </w: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“供货类别”填“工艺设备”，业务主管部门为“</w:t>
      </w:r>
      <w:r>
        <w:rPr>
          <w:rFonts w:hint="eastAsia" w:hAnsi="宋体" w:eastAsia="宋体" w:cs="宋体"/>
          <w:b/>
          <w:bCs/>
          <w:color w:val="000000"/>
          <w:sz w:val="24"/>
          <w:szCs w:val="28"/>
          <w:highlight w:val="yellow"/>
          <w:lang w:eastAsia="zh-CN"/>
        </w:rPr>
        <w:t>安全环保部</w:t>
      </w:r>
      <w:r>
        <w:rPr>
          <w:rFonts w:hint="eastAsia" w:hAnsi="宋体" w:eastAsia="宋体" w:cs="宋体"/>
          <w:b/>
          <w:bCs/>
          <w:color w:val="000000"/>
          <w:sz w:val="24"/>
          <w:szCs w:val="28"/>
          <w:highlight w:val="yellow"/>
        </w:rPr>
        <w:t>”。</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C02557B"/>
    <w:multiLevelType w:val="multilevel"/>
    <w:tmpl w:val="0C02557B"/>
    <w:lvl w:ilvl="0" w:tentative="0">
      <w:start w:val="3"/>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1980" w:hanging="72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180" w:hanging="108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380" w:hanging="1440"/>
      </w:pPr>
      <w:rPr>
        <w:rFonts w:hint="default"/>
      </w:rPr>
    </w:lvl>
    <w:lvl w:ilvl="8" w:tentative="0">
      <w:start w:val="1"/>
      <w:numFmt w:val="decimal"/>
      <w:lvlText w:val="%1.%2.%3.%4.%5.%6.%7.%8.%9"/>
      <w:lvlJc w:val="left"/>
      <w:pPr>
        <w:ind w:left="5160" w:hanging="1800"/>
      </w:pPr>
      <w:rPr>
        <w:rFonts w:hint="default"/>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244AED"/>
    <w:multiLevelType w:val="multilevel"/>
    <w:tmpl w:val="44244AED"/>
    <w:lvl w:ilvl="0" w:tentative="0">
      <w:start w:val="1"/>
      <w:numFmt w:val="lowerLetter"/>
      <w:lvlText w:val="%1)"/>
      <w:lvlJc w:val="left"/>
      <w:pPr>
        <w:ind w:left="1470" w:hanging="420"/>
      </w:pPr>
    </w:lvl>
    <w:lvl w:ilvl="1" w:tentative="0">
      <w:start w:val="1"/>
      <w:numFmt w:val="lowerLetter"/>
      <w:lvlText w:val="%2)"/>
      <w:lvlJc w:val="left"/>
      <w:pPr>
        <w:ind w:left="1890" w:hanging="420"/>
      </w:pPr>
    </w:lvl>
    <w:lvl w:ilvl="2" w:tentative="0">
      <w:start w:val="1"/>
      <w:numFmt w:val="lowerRoman"/>
      <w:lvlText w:val="%3."/>
      <w:lvlJc w:val="right"/>
      <w:pPr>
        <w:ind w:left="2310" w:hanging="420"/>
      </w:pPr>
    </w:lvl>
    <w:lvl w:ilvl="3" w:tentative="0">
      <w:start w:val="1"/>
      <w:numFmt w:val="decimal"/>
      <w:lvlText w:val="%4."/>
      <w:lvlJc w:val="left"/>
      <w:pPr>
        <w:ind w:left="2730" w:hanging="420"/>
      </w:pPr>
    </w:lvl>
    <w:lvl w:ilvl="4" w:tentative="0">
      <w:start w:val="1"/>
      <w:numFmt w:val="lowerLetter"/>
      <w:lvlText w:val="%5)"/>
      <w:lvlJc w:val="left"/>
      <w:pPr>
        <w:ind w:left="3150" w:hanging="420"/>
      </w:pPr>
    </w:lvl>
    <w:lvl w:ilvl="5" w:tentative="0">
      <w:start w:val="1"/>
      <w:numFmt w:val="lowerRoman"/>
      <w:lvlText w:val="%6."/>
      <w:lvlJc w:val="right"/>
      <w:pPr>
        <w:ind w:left="3570" w:hanging="420"/>
      </w:pPr>
    </w:lvl>
    <w:lvl w:ilvl="6" w:tentative="0">
      <w:start w:val="1"/>
      <w:numFmt w:val="decimal"/>
      <w:lvlText w:val="%7."/>
      <w:lvlJc w:val="left"/>
      <w:pPr>
        <w:ind w:left="3990" w:hanging="420"/>
      </w:pPr>
    </w:lvl>
    <w:lvl w:ilvl="7" w:tentative="0">
      <w:start w:val="1"/>
      <w:numFmt w:val="lowerLetter"/>
      <w:lvlText w:val="%8)"/>
      <w:lvlJc w:val="left"/>
      <w:pPr>
        <w:ind w:left="4410" w:hanging="420"/>
      </w:pPr>
    </w:lvl>
    <w:lvl w:ilvl="8" w:tentative="0">
      <w:start w:val="1"/>
      <w:numFmt w:val="lowerRoman"/>
      <w:lvlText w:val="%9."/>
      <w:lvlJc w:val="right"/>
      <w:pPr>
        <w:ind w:left="4830" w:hanging="420"/>
      </w:p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7DE7897"/>
    <w:multiLevelType w:val="singleLevel"/>
    <w:tmpl w:val="77DE7897"/>
    <w:lvl w:ilvl="0" w:tentative="0">
      <w:start w:val="1"/>
      <w:numFmt w:val="decimal"/>
      <w:lvlText w:val="%1."/>
      <w:lvlJc w:val="left"/>
      <w:pPr>
        <w:tabs>
          <w:tab w:val="left" w:pos="312"/>
        </w:tabs>
      </w:p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0"/>
  </w:num>
  <w:num w:numId="4">
    <w:abstractNumId w:val="11"/>
  </w:num>
  <w:num w:numId="5">
    <w:abstractNumId w:val="5"/>
  </w:num>
  <w:num w:numId="6">
    <w:abstractNumId w:val="2"/>
  </w:num>
  <w:num w:numId="7">
    <w:abstractNumId w:val="8"/>
  </w:num>
  <w:num w:numId="8">
    <w:abstractNumId w:val="1"/>
  </w:num>
  <w:num w:numId="9">
    <w:abstractNumId w:val="6"/>
  </w:num>
  <w:num w:numId="10">
    <w:abstractNumId w:val="4"/>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header" Target="header2.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31566</Words>
  <Characters>33036</Characters>
  <Lines>305</Lines>
  <Paragraphs>86</Paragraphs>
  <TotalTime>6</TotalTime>
  <ScaleCrop>false</ScaleCrop>
  <LinksUpToDate>false</LinksUpToDate>
  <CharactersWithSpaces>39379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李月兵</cp:lastModifiedBy>
  <cp:lastPrinted>2022-07-01T11:19:00Z</cp:lastPrinted>
  <dcterms:modified xsi:type="dcterms:W3CDTF">2024-09-14T07:49:27Z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ies>
</file>