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新能源整车能量流测试系统</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
      </w:pPr>
    </w:p>
    <w:p w14:paraId="033575E4">
      <w:pPr>
        <w:pStyle w:val="2"/>
      </w:pPr>
    </w:p>
    <w:p w14:paraId="3B3F643B">
      <w:pPr>
        <w:pStyle w:val="2"/>
      </w:pPr>
    </w:p>
    <w:p w14:paraId="45526BB3">
      <w:pPr>
        <w:pStyle w:val="2"/>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4F8F278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3CC61550">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新能源整车能量流测试系统项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CGZX2024080050</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新能源整车能量流测试系统</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济南莱芜区口镇新址</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3B2DABC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05C9AD9C">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lang w:val="en-US" w:eastAsia="zh-CN"/>
              </w:rPr>
              <w:t>李洋</w:t>
            </w:r>
          </w:p>
          <w:p w14:paraId="5345F34F">
            <w:pPr>
              <w:pStyle w:val="2"/>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yellow"/>
                <w:lang w:val="en-US" w:eastAsia="zh-CN"/>
              </w:rPr>
              <w:t>17854173900</w:t>
            </w:r>
          </w:p>
          <w:p w14:paraId="2F757040">
            <w:pPr>
              <w:ind w:firstLine="482" w:firstLineChars="200"/>
              <w:rPr>
                <w:rFonts w:hint="default"/>
                <w:lang w:val="en-US"/>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yellow"/>
                <w:lang w:val="en-US" w:eastAsia="zh-CN"/>
              </w:rPr>
              <w:t>liyang6@sinotruk.com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人民币90万元（含税，税率13%），超过投标限价无法投标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新能源整车能量流测试系统</w:t>
            </w:r>
            <w:r>
              <w:rPr>
                <w:rFonts w:hint="eastAsia" w:hAnsi="宋体" w:eastAsia="宋体" w:cs="宋体"/>
                <w:sz w:val="24"/>
                <w:szCs w:val="24"/>
                <w:highlight w:val="none"/>
                <w:lang w:eastAsia="zh-CN"/>
              </w:rPr>
              <w:t>）</w:t>
            </w:r>
            <w:r>
              <w:rPr>
                <w:rFonts w:ascii="宋体" w:hAnsi="宋体" w:eastAsia="宋体" w:cs="宋体"/>
                <w:sz w:val="24"/>
                <w:szCs w:val="24"/>
              </w:rPr>
              <w:t>同类项目经验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40753E1B">
            <w:pPr>
              <w:pStyle w:val="2"/>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D2554ED">
            <w:pPr>
              <w:pStyle w:val="2"/>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1DE81FB">
            <w:pPr>
              <w:pStyle w:val="2"/>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Cs/>
                <w:sz w:val="24"/>
                <w:szCs w:val="24"/>
                <w:highlight w:val="yellow"/>
                <w:lang w:val="en-US" w:eastAsia="zh-CN"/>
              </w:rPr>
              <w:t>本项目采用现场开标模式，投标人需到场参与</w:t>
            </w:r>
            <w:r>
              <w:rPr>
                <w:rFonts w:hint="eastAsia" w:eastAsia="宋体" w:cs="宋体" w:asciiTheme="minorHAnsi" w:hAnsiTheme="minorHAnsi"/>
                <w:bCs/>
                <w:sz w:val="24"/>
                <w:szCs w:val="24"/>
                <w:highlight w:val="yellow"/>
              </w:rPr>
              <w:t>。</w:t>
            </w:r>
          </w:p>
          <w:p w14:paraId="14E15EE7">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2" w:firstLineChars="200"/>
              <w:rPr>
                <w:rFonts w:hint="eastAsia" w:ascii="宋体" w:hAnsi="宋体" w:eastAsia="宋体" w:cs="宋体"/>
                <w:b/>
                <w:bCs/>
                <w:sz w:val="24"/>
                <w:szCs w:val="24"/>
              </w:rPr>
            </w:pPr>
            <w:r>
              <w:rPr>
                <w:rFonts w:hint="eastAsia" w:eastAsia="宋体" w:cs="宋体" w:asciiTheme="minorHAnsi" w:hAnsiTheme="minorHAnsi"/>
                <w:b/>
                <w:bCs w:val="0"/>
                <w:sz w:val="24"/>
                <w:szCs w:val="24"/>
                <w:highlight w:val="yellow"/>
                <w:lang w:val="en-US" w:eastAsia="zh-CN"/>
              </w:rPr>
              <w:t>本项目采用现场开标模式，投标人需到场参与</w:t>
            </w:r>
            <w:r>
              <w:rPr>
                <w:rFonts w:hint="eastAsia" w:ascii="宋体" w:hAnsi="宋体" w:eastAsia="宋体" w:cs="宋体"/>
                <w:color w:val="000000"/>
                <w:sz w:val="24"/>
                <w:szCs w:val="24"/>
                <w:highlight w:val="yellow"/>
                <w:lang w:val="en-US" w:eastAsia="zh-CN"/>
              </w:rPr>
              <w:t>。</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90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接续80个日历日内，完成终验收。</w:t>
            </w:r>
          </w:p>
          <w:p w14:paraId="09AACEC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4"/>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4"/>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本项目采用现场开标，投标人需到场参与投标</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65752"/>
      <w:bookmarkStart w:id="7" w:name="_Toc33266914"/>
      <w:bookmarkStart w:id="8" w:name="_Toc33285487"/>
      <w:bookmarkStart w:id="9" w:name="_Toc33267001"/>
      <w:bookmarkStart w:id="10" w:name="_Toc33266627"/>
      <w:bookmarkStart w:id="11" w:name="_Toc33266950"/>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85489"/>
      <w:bookmarkStart w:id="15" w:name="_Toc33266628"/>
      <w:bookmarkStart w:id="16" w:name="_Toc395116634"/>
      <w:bookmarkStart w:id="17" w:name="_Toc33267002"/>
      <w:bookmarkStart w:id="18" w:name="_Toc33265753"/>
      <w:bookmarkStart w:id="19" w:name="_Toc33266915"/>
      <w:bookmarkStart w:id="20" w:name="_Toc33266951"/>
      <w:bookmarkStart w:id="21" w:name="_Toc33265654"/>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9"/>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75F6B3A">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4642CED">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新能源整车能量流测试系统</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Pr>
        <w:pStyle w:val="2"/>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Pr>
        <w:pStyle w:val="2"/>
      </w:pPr>
    </w:p>
    <w:p w14:paraId="72471061">
      <w:pPr>
        <w:pStyle w:val="2"/>
        <w:rPr>
          <w:rFonts w:ascii="黑体" w:hAnsi="宋体" w:eastAsia="黑体" w:cs="Times New Roman"/>
          <w:color w:val="000000"/>
          <w:sz w:val="72"/>
          <w:szCs w:val="72"/>
        </w:rPr>
      </w:pPr>
    </w:p>
    <w:p w14:paraId="3DF0F21B">
      <w:pPr>
        <w:pStyle w:val="2"/>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6"/>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01C742F8">
      <w:pPr>
        <w:pStyle w:val="16"/>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53B6C069">
      <w:pPr>
        <w:keepNext/>
        <w:keepLines/>
        <w:jc w:val="center"/>
        <w:outlineLvl w:val="0"/>
        <w:rPr>
          <w:rFonts w:hint="eastAsia" w:ascii="宋体" w:hAnsi="宋体" w:cs="宋体"/>
          <w:b/>
          <w:color w:val="000000"/>
          <w:kern w:val="44"/>
          <w:sz w:val="30"/>
          <w:szCs w:val="30"/>
        </w:rPr>
      </w:pPr>
      <w:r>
        <w:rPr>
          <w:rFonts w:hint="eastAsia" w:ascii="宋体" w:hAnsi="宋体" w:cs="宋体"/>
          <w:b/>
          <w:color w:val="000000"/>
          <w:kern w:val="44"/>
          <w:sz w:val="30"/>
          <w:szCs w:val="30"/>
        </w:rPr>
        <w:t>第一章  采购货物概况</w:t>
      </w:r>
    </w:p>
    <w:p w14:paraId="2500656C">
      <w:pPr>
        <w:pStyle w:val="4"/>
        <w:spacing w:before="120" w:after="120" w:line="480" w:lineRule="exact"/>
        <w:jc w:val="left"/>
        <w:rPr>
          <w:rFonts w:hint="eastAsia" w:ascii="宋体" w:hAnsi="宋体" w:eastAsia="宋体"/>
          <w:bCs w:val="0"/>
          <w:sz w:val="28"/>
          <w:szCs w:val="28"/>
        </w:rPr>
      </w:pPr>
      <w:bookmarkStart w:id="32" w:name="_Toc2341219"/>
      <w:r>
        <w:rPr>
          <w:rFonts w:hint="eastAsia" w:ascii="宋体" w:hAnsi="宋体" w:eastAsia="宋体"/>
          <w:bCs w:val="0"/>
          <w:sz w:val="28"/>
          <w:szCs w:val="28"/>
        </w:rPr>
        <w:t>第一节 使用环境</w:t>
      </w:r>
      <w:bookmarkEnd w:id="32"/>
    </w:p>
    <w:p w14:paraId="1B3F9B95">
      <w:pPr>
        <w:spacing w:line="420" w:lineRule="exact"/>
        <w:ind w:left="2101" w:leftChars="200" w:hanging="1681" w:hangingChars="700"/>
        <w:rPr>
          <w:rFonts w:hint="eastAsia" w:ascii="宋体" w:hAnsi="宋体"/>
          <w:sz w:val="24"/>
          <w:szCs w:val="24"/>
          <w:highlight w:val="yellow"/>
          <w:u w:val="single"/>
          <w:shd w:val="pct10" w:color="auto" w:fill="FFFFFF"/>
        </w:rPr>
      </w:pPr>
      <w:r>
        <w:rPr>
          <w:rFonts w:hint="eastAsia" w:ascii="宋体" w:hAnsi="宋体"/>
          <w:b/>
          <w:bCs/>
          <w:sz w:val="24"/>
          <w:szCs w:val="24"/>
        </w:rPr>
        <w:t>一、项目名称：</w:t>
      </w:r>
      <w:r>
        <w:rPr>
          <w:rFonts w:hint="eastAsia" w:ascii="宋体" w:hAnsi="宋体"/>
          <w:sz w:val="24"/>
          <w:szCs w:val="24"/>
          <w:u w:val="single"/>
        </w:rPr>
        <w:t>新能源整车能量流测试系统项目</w:t>
      </w:r>
    </w:p>
    <w:p w14:paraId="72405135">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二、建设地点：</w:t>
      </w:r>
      <w:r>
        <w:rPr>
          <w:rFonts w:hint="eastAsia" w:ascii="宋体" w:hAnsi="宋体"/>
          <w:sz w:val="24"/>
          <w:szCs w:val="24"/>
          <w:u w:val="single"/>
        </w:rPr>
        <w:t>济南市莱芜区口镇重汽工业园</w:t>
      </w:r>
    </w:p>
    <w:p w14:paraId="2878534B">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三、使用地点：</w:t>
      </w:r>
      <w:r>
        <w:rPr>
          <w:rFonts w:hint="eastAsia" w:ascii="宋体" w:hAnsi="宋体"/>
          <w:sz w:val="24"/>
          <w:szCs w:val="24"/>
          <w:u w:val="single"/>
        </w:rPr>
        <w:t>济南市莱芜区口镇重汽工业园</w:t>
      </w:r>
    </w:p>
    <w:p w14:paraId="2B203399">
      <w:pPr>
        <w:spacing w:line="420" w:lineRule="exact"/>
        <w:ind w:left="2101" w:leftChars="200" w:hanging="1681" w:hangingChars="700"/>
        <w:rPr>
          <w:rFonts w:hint="eastAsia" w:ascii="宋体" w:hAnsi="宋体"/>
          <w:sz w:val="24"/>
          <w:szCs w:val="24"/>
        </w:rPr>
      </w:pPr>
      <w:r>
        <w:rPr>
          <w:rFonts w:hint="eastAsia" w:ascii="宋体" w:hAnsi="宋体"/>
          <w:b/>
          <w:bCs/>
          <w:sz w:val="24"/>
          <w:szCs w:val="24"/>
        </w:rPr>
        <w:t>四、工作制度：</w:t>
      </w:r>
      <w:r>
        <w:rPr>
          <w:rFonts w:hint="eastAsia" w:ascii="宋体" w:hAnsi="宋体"/>
          <w:sz w:val="24"/>
          <w:szCs w:val="24"/>
        </w:rPr>
        <w:t>全年工作274天、两班制、设备年时基数4380小时</w:t>
      </w:r>
    </w:p>
    <w:p w14:paraId="0D6835C6">
      <w:pPr>
        <w:spacing w:line="420" w:lineRule="exact"/>
        <w:ind w:firstLine="480" w:firstLineChars="200"/>
        <w:rPr>
          <w:rFonts w:hint="eastAsia" w:ascii="宋体" w:hAnsi="宋体"/>
          <w:b/>
          <w:bCs/>
          <w:sz w:val="24"/>
          <w:szCs w:val="24"/>
        </w:rPr>
      </w:pPr>
      <w:r>
        <w:rPr>
          <w:rFonts w:hint="eastAsia" w:ascii="宋体" w:hAnsi="宋体"/>
          <w:b/>
          <w:bCs/>
          <w:sz w:val="24"/>
          <w:szCs w:val="24"/>
        </w:rPr>
        <w:t>五、使用地点区域自然环境</w:t>
      </w:r>
    </w:p>
    <w:p w14:paraId="71E3A174">
      <w:pPr>
        <w:spacing w:line="420" w:lineRule="exact"/>
        <w:ind w:firstLine="480" w:firstLineChars="200"/>
        <w:rPr>
          <w:rFonts w:hint="eastAsia"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44B5C5A4">
      <w:pPr>
        <w:spacing w:line="420" w:lineRule="exact"/>
        <w:ind w:firstLine="480" w:firstLineChars="200"/>
        <w:rPr>
          <w:rFonts w:hint="eastAsia" w:ascii="宋体" w:hAns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0C6C1101">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28D50079">
      <w:pPr>
        <w:spacing w:line="420" w:lineRule="exact"/>
        <w:ind w:firstLine="480" w:firstLineChars="200"/>
        <w:rPr>
          <w:rFonts w:hint="eastAsia" w:ascii="宋体" w:hAnsi="宋体"/>
          <w:sz w:val="24"/>
          <w:szCs w:val="24"/>
        </w:rPr>
      </w:pPr>
      <w:r>
        <w:rPr>
          <w:rFonts w:ascii="宋体" w:hAnsi="宋体"/>
          <w:sz w:val="24"/>
          <w:szCs w:val="24"/>
        </w:rPr>
        <w:t>4</w:t>
      </w:r>
      <w:r>
        <w:rPr>
          <w:rFonts w:hint="eastAsia" w:ascii="宋体" w:hAnsi="宋体"/>
          <w:sz w:val="24"/>
          <w:szCs w:val="24"/>
        </w:rPr>
        <w:t>、地震设防裂度：七度。</w:t>
      </w:r>
    </w:p>
    <w:p w14:paraId="0E7FE2C6">
      <w:pPr>
        <w:spacing w:line="420" w:lineRule="exact"/>
        <w:ind w:firstLine="480" w:firstLineChars="200"/>
        <w:rPr>
          <w:rFonts w:hint="eastAsia" w:ascii="宋体" w:hAnsi="宋体"/>
          <w:b/>
          <w:bCs/>
          <w:sz w:val="24"/>
          <w:szCs w:val="24"/>
        </w:rPr>
      </w:pPr>
      <w:r>
        <w:rPr>
          <w:rFonts w:hint="eastAsia" w:ascii="宋体" w:hAnsi="宋体"/>
          <w:b/>
          <w:bCs/>
          <w:sz w:val="24"/>
          <w:szCs w:val="24"/>
        </w:rPr>
        <w:t>六、试验室环境</w:t>
      </w:r>
    </w:p>
    <w:p w14:paraId="5B2B7DFA">
      <w:pPr>
        <w:spacing w:line="420" w:lineRule="exact"/>
        <w:ind w:firstLine="480" w:firstLineChars="200"/>
        <w:rPr>
          <w:rFonts w:hint="eastAsia" w:ascii="宋体" w:hAnsi="宋体"/>
          <w:sz w:val="24"/>
          <w:szCs w:val="24"/>
          <w:highlight w:val="yellow"/>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w:t>
      </w:r>
      <w:r>
        <w:rPr>
          <w:rFonts w:hint="eastAsia" w:ascii="宋体" w:hAnsi="宋体"/>
          <w:sz w:val="24"/>
          <w:szCs w:val="24"/>
        </w:rPr>
        <w:t>。</w:t>
      </w:r>
    </w:p>
    <w:p w14:paraId="2E8CB491">
      <w:pPr>
        <w:spacing w:line="420" w:lineRule="exact"/>
        <w:ind w:firstLine="480" w:firstLineChars="200"/>
        <w:rPr>
          <w:rFonts w:hint="eastAsia" w:ascii="宋体" w:hAnsi="宋体"/>
          <w:sz w:val="24"/>
          <w:szCs w:val="24"/>
        </w:rPr>
      </w:pPr>
      <w:r>
        <w:rPr>
          <w:rFonts w:ascii="宋体" w:hAnsi="宋体"/>
          <w:sz w:val="24"/>
          <w:szCs w:val="24"/>
        </w:rPr>
        <w:t>2</w:t>
      </w:r>
      <w:r>
        <w:rPr>
          <w:rFonts w:hint="eastAsia" w:ascii="宋体" w:hAnsi="宋体"/>
          <w:sz w:val="24"/>
          <w:szCs w:val="24"/>
        </w:rPr>
        <w:t>、电力：中国制式，供电电压</w:t>
      </w:r>
      <w:r>
        <w:rPr>
          <w:rFonts w:ascii="宋体" w:hAnsi="宋体"/>
          <w:sz w:val="24"/>
          <w:szCs w:val="24"/>
        </w:rPr>
        <w:t>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14:paraId="66F7E2DC">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、电力（消防）：中国制式，供电电压</w:t>
      </w:r>
      <w:r>
        <w:rPr>
          <w:rFonts w:ascii="宋体" w:hAnsi="宋体"/>
          <w:sz w:val="24"/>
          <w:szCs w:val="24"/>
        </w:rPr>
        <w:t>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 xml:space="preserve"> </w:t>
      </w:r>
    </w:p>
    <w:p w14:paraId="4EC6F700">
      <w:pPr>
        <w:rPr>
          <w:color w:val="000000"/>
          <w:sz w:val="24"/>
        </w:rPr>
      </w:pPr>
      <w:r>
        <w:rPr>
          <w:color w:val="000000"/>
          <w:sz w:val="24"/>
        </w:rPr>
        <w:br w:type="page"/>
      </w:r>
    </w:p>
    <w:p w14:paraId="41FE961D">
      <w:pPr>
        <w:pStyle w:val="4"/>
        <w:spacing w:before="120" w:after="120" w:line="480" w:lineRule="exact"/>
        <w:jc w:val="left"/>
        <w:rPr>
          <w:rFonts w:hint="eastAsia" w:ascii="宋体" w:hAnsi="宋体" w:eastAsia="宋体"/>
          <w:bCs w:val="0"/>
          <w:sz w:val="28"/>
          <w:szCs w:val="28"/>
        </w:rPr>
      </w:pPr>
      <w:bookmarkStart w:id="33" w:name="_Toc2341220"/>
      <w:r>
        <w:rPr>
          <w:rFonts w:hint="eastAsia" w:ascii="宋体" w:hAnsi="宋体" w:eastAsia="宋体"/>
          <w:bCs w:val="0"/>
          <w:sz w:val="28"/>
          <w:szCs w:val="28"/>
        </w:rPr>
        <w:t>第二节 采购货物概况</w:t>
      </w:r>
      <w:bookmarkEnd w:id="33"/>
    </w:p>
    <w:p w14:paraId="5ED1AB94">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rPr>
        <w:t xml:space="preserve">新能源整车能量流测试系统项目 </w:t>
      </w:r>
      <w:r>
        <w:rPr>
          <w:rFonts w:hint="eastAsia" w:ascii="宋体" w:hAnsi="宋体"/>
          <w:sz w:val="24"/>
          <w:szCs w:val="24"/>
        </w:rPr>
        <w:t>（详见下表）</w:t>
      </w:r>
    </w:p>
    <w:p w14:paraId="2CB02CD3">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一套</w:t>
      </w:r>
      <w:r>
        <w:rPr>
          <w:rFonts w:hint="eastAsia" w:ascii="宋体" w:hAnsi="宋体"/>
          <w:sz w:val="24"/>
          <w:szCs w:val="24"/>
        </w:rPr>
        <w:t>（详见下表）</w:t>
      </w:r>
    </w:p>
    <w:p w14:paraId="7DB46F3E">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0E1CA080">
      <w:pPr>
        <w:spacing w:line="420" w:lineRule="exact"/>
        <w:jc w:val="center"/>
        <w:rPr>
          <w:rFonts w:ascii="宋体"/>
          <w:sz w:val="24"/>
          <w:szCs w:val="24"/>
        </w:rPr>
      </w:pPr>
      <w:r>
        <w:rPr>
          <w:rFonts w:hint="eastAsia" w:ascii="宋体" w:hAnsi="宋体"/>
          <w:sz w:val="24"/>
          <w:szCs w:val="24"/>
        </w:rPr>
        <w:t>采购货物主要构成一览表</w:t>
      </w:r>
    </w:p>
    <w:tbl>
      <w:tblPr>
        <w:tblStyle w:val="39"/>
        <w:tblW w:w="9318" w:type="dxa"/>
        <w:tblInd w:w="0" w:type="dxa"/>
        <w:tblLayout w:type="fixed"/>
        <w:tblCellMar>
          <w:top w:w="0" w:type="dxa"/>
          <w:left w:w="108" w:type="dxa"/>
          <w:bottom w:w="0" w:type="dxa"/>
          <w:right w:w="108" w:type="dxa"/>
        </w:tblCellMar>
      </w:tblPr>
      <w:tblGrid>
        <w:gridCol w:w="868"/>
        <w:gridCol w:w="1825"/>
        <w:gridCol w:w="1263"/>
        <w:gridCol w:w="1037"/>
        <w:gridCol w:w="950"/>
        <w:gridCol w:w="3375"/>
      </w:tblGrid>
      <w:tr w14:paraId="647B308E">
        <w:tblPrEx>
          <w:tblCellMar>
            <w:top w:w="0" w:type="dxa"/>
            <w:left w:w="108" w:type="dxa"/>
            <w:bottom w:w="0" w:type="dxa"/>
            <w:right w:w="108" w:type="dxa"/>
          </w:tblCellMar>
        </w:tblPrEx>
        <w:trPr>
          <w:trHeight w:val="435"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1574">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3DE">
            <w:pPr>
              <w:widowControl/>
              <w:jc w:val="center"/>
              <w:rPr>
                <w:rFonts w:hint="eastAsia" w:ascii="宋体" w:hAnsi="宋体" w:cs="宋体"/>
                <w:kern w:val="0"/>
                <w:sz w:val="24"/>
                <w:szCs w:val="24"/>
              </w:rPr>
            </w:pPr>
            <w:r>
              <w:rPr>
                <w:rFonts w:hint="eastAsia" w:ascii="宋体" w:hAnsi="宋体" w:cs="宋体"/>
                <w:kern w:val="0"/>
                <w:sz w:val="24"/>
                <w:szCs w:val="24"/>
              </w:rPr>
              <w:t>设备名称</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37E3">
            <w:pPr>
              <w:widowControl/>
              <w:jc w:val="center"/>
              <w:rPr>
                <w:rFonts w:hint="eastAsia" w:ascii="宋体" w:hAnsi="宋体" w:cs="宋体"/>
                <w:kern w:val="0"/>
                <w:sz w:val="24"/>
                <w:szCs w:val="24"/>
              </w:rPr>
            </w:pPr>
            <w:r>
              <w:rPr>
                <w:rFonts w:hint="eastAsia" w:ascii="宋体" w:hAnsi="宋体" w:cs="宋体"/>
                <w:kern w:val="0"/>
                <w:sz w:val="24"/>
                <w:szCs w:val="24"/>
              </w:rPr>
              <w:t>型号规格</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C9F2">
            <w:pPr>
              <w:widowControl/>
              <w:jc w:val="center"/>
              <w:rPr>
                <w:rFonts w:hint="eastAsia" w:ascii="宋体" w:hAnsi="宋体" w:cs="宋体"/>
                <w:kern w:val="0"/>
                <w:sz w:val="24"/>
                <w:szCs w:val="24"/>
              </w:rPr>
            </w:pPr>
            <w:r>
              <w:rPr>
                <w:rFonts w:hint="eastAsia" w:ascii="宋体" w:hAnsi="宋体" w:cs="宋体"/>
                <w:kern w:val="0"/>
                <w:sz w:val="24"/>
                <w:szCs w:val="24"/>
              </w:rPr>
              <w:t>单位</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1185">
            <w:pPr>
              <w:widowControl/>
              <w:jc w:val="center"/>
              <w:rPr>
                <w:rFonts w:hint="eastAsia" w:ascii="宋体" w:hAnsi="宋体" w:cs="宋体"/>
                <w:kern w:val="0"/>
                <w:sz w:val="24"/>
                <w:szCs w:val="24"/>
              </w:rPr>
            </w:pPr>
            <w:r>
              <w:rPr>
                <w:rFonts w:hint="eastAsia" w:ascii="宋体" w:hAnsi="宋体" w:cs="宋体"/>
                <w:kern w:val="0"/>
                <w:sz w:val="24"/>
                <w:szCs w:val="24"/>
              </w:rPr>
              <w:t>数量</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F588">
            <w:pPr>
              <w:widowControl/>
              <w:jc w:val="center"/>
              <w:rPr>
                <w:rFonts w:hint="eastAsia" w:ascii="宋体" w:hAnsi="宋体" w:cs="宋体"/>
                <w:kern w:val="0"/>
                <w:sz w:val="24"/>
                <w:szCs w:val="24"/>
              </w:rPr>
            </w:pPr>
            <w:r>
              <w:rPr>
                <w:rFonts w:hint="eastAsia" w:ascii="宋体" w:hAnsi="宋体" w:cs="宋体"/>
                <w:kern w:val="0"/>
                <w:sz w:val="24"/>
                <w:szCs w:val="24"/>
              </w:rPr>
              <w:t>安装地点/服务对象</w:t>
            </w:r>
          </w:p>
        </w:tc>
      </w:tr>
      <w:tr w14:paraId="18962F93">
        <w:tblPrEx>
          <w:tblCellMar>
            <w:top w:w="0" w:type="dxa"/>
            <w:left w:w="108" w:type="dxa"/>
            <w:bottom w:w="0" w:type="dxa"/>
            <w:right w:w="108" w:type="dxa"/>
          </w:tblCellMar>
        </w:tblPrEx>
        <w:trPr>
          <w:trHeight w:val="40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A2BB">
            <w:pPr>
              <w:widowControl/>
              <w:jc w:val="center"/>
              <w:textAlignment w:val="center"/>
              <w:rPr>
                <w:rFonts w:hint="eastAsia" w:ascii="宋体" w:hAnsi="宋体" w:cs="宋体"/>
                <w:kern w:val="0"/>
                <w:sz w:val="24"/>
                <w:szCs w:val="24"/>
              </w:rPr>
            </w:pPr>
            <w:r>
              <w:rPr>
                <w:rFonts w:hint="eastAsia" w:ascii="宋体" w:hAnsi="宋体" w:cs="宋体"/>
                <w:color w:val="000000"/>
                <w:kern w:val="0"/>
                <w:sz w:val="24"/>
                <w:szCs w:val="24"/>
                <w:lang w:bidi="ar"/>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D665">
            <w:pPr>
              <w:widowControl/>
              <w:jc w:val="center"/>
              <w:textAlignment w:val="center"/>
              <w:rPr>
                <w:rFonts w:hint="eastAsia" w:ascii="宋体" w:hAnsi="宋体" w:cs="宋体"/>
                <w:kern w:val="0"/>
                <w:sz w:val="24"/>
                <w:szCs w:val="24"/>
              </w:rPr>
            </w:pPr>
            <w:r>
              <w:rPr>
                <w:rFonts w:hint="eastAsia" w:ascii="宋体" w:hAnsi="宋体"/>
                <w:sz w:val="24"/>
                <w:szCs w:val="24"/>
                <w:u w:val="single"/>
              </w:rPr>
              <w:t>新能源整车能量流测试系统</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C133">
            <w:pPr>
              <w:widowControl/>
              <w:jc w:val="center"/>
              <w:textAlignment w:val="center"/>
              <w:rPr>
                <w:rFonts w:hint="eastAsia" w:ascii="宋体" w:hAnsi="宋体" w:cs="宋体"/>
                <w:kern w:val="0"/>
                <w:sz w:val="24"/>
                <w:szCs w:val="24"/>
              </w:rPr>
            </w:pPr>
            <w:r>
              <w:rPr>
                <w:rFonts w:hint="eastAsia" w:ascii="宋体" w:hAnsi="宋体" w:cs="宋体"/>
                <w:kern w:val="0"/>
                <w:sz w:val="24"/>
                <w:szCs w:val="24"/>
              </w:rPr>
              <w:t>\</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9991">
            <w:pPr>
              <w:widowControl/>
              <w:jc w:val="center"/>
              <w:textAlignment w:val="center"/>
              <w:rPr>
                <w:rFonts w:hint="eastAsia" w:ascii="宋体" w:hAnsi="宋体" w:cs="宋体"/>
                <w:kern w:val="0"/>
                <w:sz w:val="24"/>
                <w:szCs w:val="24"/>
              </w:rPr>
            </w:pPr>
            <w:r>
              <w:rPr>
                <w:rFonts w:hint="eastAsia" w:ascii="宋体" w:hAnsi="宋体" w:cs="宋体"/>
                <w:kern w:val="0"/>
                <w:sz w:val="24"/>
                <w:szCs w:val="24"/>
              </w:rPr>
              <w:t>套</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39ED">
            <w:pPr>
              <w:widowControl/>
              <w:jc w:val="center"/>
              <w:textAlignment w:val="center"/>
              <w:rPr>
                <w:rFonts w:hint="eastAsia" w:ascii="宋体" w:hAnsi="宋体" w:cs="宋体"/>
                <w:kern w:val="0"/>
                <w:sz w:val="24"/>
                <w:szCs w:val="24"/>
              </w:rPr>
            </w:pPr>
            <w:r>
              <w:rPr>
                <w:rFonts w:hint="eastAsia" w:ascii="宋体" w:hAnsi="宋体" w:cs="宋体"/>
                <w:kern w:val="0"/>
                <w:sz w:val="24"/>
                <w:szCs w:val="24"/>
              </w:rPr>
              <w:t>1</w:t>
            </w:r>
          </w:p>
        </w:tc>
        <w:tc>
          <w:tcPr>
            <w:tcW w:w="3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024E">
            <w:pPr>
              <w:widowControl/>
              <w:jc w:val="center"/>
              <w:textAlignment w:val="center"/>
              <w:rPr>
                <w:rFonts w:hint="eastAsia" w:ascii="宋体" w:hAnsi="宋体" w:cs="宋体"/>
                <w:kern w:val="0"/>
                <w:sz w:val="24"/>
                <w:szCs w:val="24"/>
              </w:rPr>
            </w:pPr>
            <w:r>
              <w:rPr>
                <w:rFonts w:hint="eastAsia" w:ascii="宋体" w:hAnsi="宋体" w:cs="宋体"/>
                <w:kern w:val="0"/>
                <w:sz w:val="24"/>
                <w:szCs w:val="24"/>
              </w:rPr>
              <w:t>3#新能源试验室</w:t>
            </w:r>
          </w:p>
        </w:tc>
      </w:tr>
    </w:tbl>
    <w:p w14:paraId="54ABC795">
      <w:pPr>
        <w:spacing w:line="420" w:lineRule="exact"/>
        <w:ind w:firstLine="480" w:firstLineChars="200"/>
        <w:rPr>
          <w:rFonts w:hint="eastAsia" w:ascii="宋体" w:hAns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5D148D46">
      <w:pPr>
        <w:spacing w:line="420" w:lineRule="exact"/>
        <w:ind w:firstLine="480" w:firstLineChars="200"/>
        <w:rPr>
          <w:rFonts w:hint="eastAsia" w:ascii="宋体" w:hAnsi="宋体"/>
          <w:sz w:val="24"/>
          <w:szCs w:val="24"/>
        </w:rPr>
      </w:pPr>
      <w:r>
        <w:rPr>
          <w:rFonts w:hint="eastAsia" w:ascii="宋体" w:hAnsi="宋体"/>
          <w:sz w:val="24"/>
          <w:szCs w:val="24"/>
        </w:rPr>
        <w:t>请投标人注意：本招标书中所有条款均为招标方对投标方的要求内容，不应因表达顺序而被投标方忽视。对每一项要求均要求投标书中对应明确是否满足。</w:t>
      </w:r>
    </w:p>
    <w:p w14:paraId="787C90B7">
      <w:pPr>
        <w:widowControl/>
        <w:ind w:firstLine="480" w:firstLineChars="200"/>
        <w:jc w:val="left"/>
        <w:rPr>
          <w:rFonts w:ascii="宋体"/>
        </w:rPr>
      </w:pPr>
      <w:r>
        <w:rPr>
          <w:rFonts w:hint="eastAsia" w:ascii="黑体" w:hAnsi="黑体" w:eastAsia="黑体"/>
          <w:sz w:val="24"/>
          <w:szCs w:val="24"/>
        </w:rPr>
        <w:t>四、采购货物特别说明</w:t>
      </w:r>
    </w:p>
    <w:p w14:paraId="3C195804">
      <w:pPr>
        <w:pStyle w:val="16"/>
        <w:spacing w:before="0" w:after="0" w:afterLines="0" w:line="360" w:lineRule="auto"/>
        <w:ind w:firstLine="480" w:firstLineChars="200"/>
        <w:rPr>
          <w:rFonts w:ascii="宋体" w:hAnsi="宋体" w:eastAsia="宋体" w:cs="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r>
        <w:rPr>
          <w:rFonts w:hint="eastAsia" w:ascii="宋体" w:hAnsi="宋体" w:eastAsia="宋体" w:cs="宋体"/>
          <w:sz w:val="24"/>
          <w:szCs w:val="24"/>
        </w:rPr>
        <w:t>。</w:t>
      </w: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5"/>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890053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21F6B3DF">
      <w:pPr>
        <w:pStyle w:val="5"/>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工艺设备电机必须选用一级能效，空调必须选用一级能效，变压器最低选用二级能效。杜绝选用三级及以下能效</w:t>
      </w:r>
      <w:bookmarkStart w:id="61" w:name="_GoBack"/>
      <w:bookmarkEnd w:id="61"/>
      <w:r>
        <w:rPr>
          <w:rFonts w:hint="eastAsia" w:ascii="宋体" w:hAnsi="宋体" w:eastAsia="宋体" w:cs="Times New Roman"/>
          <w:b/>
          <w:bCs/>
          <w:sz w:val="24"/>
          <w:szCs w:val="24"/>
          <w:highlight w:val="yellow"/>
          <w:lang w:val="en-US" w:eastAsia="zh-CN"/>
        </w:rPr>
        <w:t>。</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6744D46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.接口协议要求</w:t>
      </w:r>
    </w:p>
    <w:p w14:paraId="6399BC24">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4284004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30D6A1A0">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149E80EC">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66FC4F2B">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236A3F82">
      <w:pPr>
        <w:pStyle w:val="116"/>
        <w:spacing w:line="360" w:lineRule="auto"/>
        <w:outlineLvl w:val="2"/>
        <w:rPr>
          <w:rFonts w:hint="eastAsia" w:ascii="宋体" w:hAnsi="宋体" w:eastAsia="宋体" w:cs="宋体"/>
          <w:b/>
          <w:bCs w:val="0"/>
          <w:sz w:val="24"/>
          <w:szCs w:val="24"/>
        </w:rPr>
      </w:pPr>
      <w:r>
        <w:rPr>
          <w:rFonts w:hint="eastAsia" w:ascii="宋体" w:hAnsi="宋体" w:eastAsia="宋体" w:cs="宋体"/>
          <w:b/>
          <w:bCs w:val="0"/>
          <w:sz w:val="24"/>
          <w:szCs w:val="24"/>
        </w:rPr>
        <w:t>三、技术要求</w:t>
      </w:r>
    </w:p>
    <w:p w14:paraId="017F7C53">
      <w:pPr>
        <w:ind w:firstLine="482" w:firstLineChars="200"/>
        <w:jc w:val="left"/>
        <w:rPr>
          <w:rFonts w:hint="eastAsia" w:ascii="宋体" w:hAnsi="宋体" w:eastAsia="宋体" w:cs="宋体"/>
          <w:color w:val="000000"/>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12D13C4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 产品总体要求</w:t>
      </w:r>
    </w:p>
    <w:p w14:paraId="0002CF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新能源整车能量流测试系统可用于高精度、同时域采集各类信号，实现新能源汽车全场景的能量流测试与评价。该系统能同时进行多通道电压、电流、温度、CAN、转速、车速和扭矩的采集，满足整车台架测试要求。能实现新能源汽车整车电能效率分析、制动能量回收测试与分析、电池充放电分析、充电桩效率分析、空调、PTC、DC/DC等辅助设备的能耗分析。</w:t>
      </w:r>
    </w:p>
    <w:p w14:paraId="06D7C25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2功能要求</w:t>
      </w:r>
    </w:p>
    <w:p w14:paraId="1E4620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1）设备可通过以太网通讯，实现多通道的扩展（至少包括24路电流信号、4路电压信号、2路CAN信号）；</w:t>
      </w:r>
    </w:p>
    <w:p w14:paraId="034CB1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2）采集系统可长时间实时、无间断记录多通道信号，所有通道并行同步工作；</w:t>
      </w:r>
    </w:p>
    <w:p w14:paraId="30443F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3）设备整体可长时间在-30℃～60℃的温度范围内工作，具备较强的抗干扰能力和良好的稳定性；</w:t>
      </w:r>
    </w:p>
    <w:p w14:paraId="45443E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操作系统为当前主流Windows操作系统，测试系统的软件平台必须提供免费更新服务，包含但不限于软件版本升级、功能升级以及通信协议、测试项目的更新，若涉及订阅制的服务时，需在方案内特别注明并提供升级更新费用细项等说明；</w:t>
      </w:r>
    </w:p>
    <w:p w14:paraId="6616AB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5）具备数据防丢失功能，数据的管理包括了打开文件、数据备份、文件删除、数据格式转换等功能，保证数据处理方便可靠；</w:t>
      </w:r>
    </w:p>
    <w:p w14:paraId="0ECFBC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6）具备快速简便的一键式可视化参数设置，参数设置过程中实时显示通道工作状态；</w:t>
      </w:r>
    </w:p>
    <w:p w14:paraId="5290CC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7）可进行能耗分析、能量回收测试、能量平衡测试、功率特性测试、充电特性测试、功率分析等，并以多种格式文件输出，包括但不限于Flexpro、Matlab、txt、excel、dat、unv 等；</w:t>
      </w:r>
    </w:p>
    <w:p w14:paraId="180278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8）可以任意定义时间间隔，进行各种统计值(如最大值、最小值、峰值、平均值、均方根值、指数平均、线性平均、峰值保持平均等)计算、分析和显示。</w:t>
      </w:r>
    </w:p>
    <w:p w14:paraId="31CF3E4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3 设备技术参数</w:t>
      </w:r>
    </w:p>
    <w:p w14:paraId="7695FF9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3.1 数据采集主机</w:t>
      </w:r>
    </w:p>
    <w:p w14:paraId="737C1C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机箱类型：可便携移动式机箱或由各独立的模块直接搭建；</w:t>
      </w:r>
    </w:p>
    <w:p w14:paraId="7B620F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可扩展数：每个机箱支持8模块及以上扩展；</w:t>
      </w:r>
    </w:p>
    <w:p w14:paraId="7BF7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扩展方式：可通过以太网扩展至无限多通道；</w:t>
      </w:r>
    </w:p>
    <w:p w14:paraId="5AE8FB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同步方式：多机箱之间通过同步时钟盒同步，通道相位差小于100ns；</w:t>
      </w:r>
    </w:p>
    <w:p w14:paraId="370DD2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供电方式：直流供电10V～30V，外配220VAC电源适配器；</w:t>
      </w:r>
    </w:p>
    <w:p w14:paraId="284CBB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支持通道卡类型：多功能信号采集卡、电压电流采集卡、CAN-FD总线卡、温度采集卡。</w:t>
      </w:r>
    </w:p>
    <w:p w14:paraId="22CEF07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3.2 电力输入模块</w:t>
      </w:r>
    </w:p>
    <w:p w14:paraId="77EBB2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AD位数：不低于16位；</w:t>
      </w:r>
    </w:p>
    <w:p w14:paraId="2819F4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所有通道同步采集，采样速率要求1MHz；</w:t>
      </w:r>
    </w:p>
    <w:p w14:paraId="06D663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输入方式：DC、AC；</w:t>
      </w:r>
    </w:p>
    <w:p w14:paraId="69BF3C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高电压输入：电压量程±2000V，分档切换，电压精度不低于0.05％FS；</w:t>
      </w:r>
    </w:p>
    <w:p w14:paraId="689277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低电压输入：电压量程±10V，分档切换，电压精度不低于0.05％FS。</w:t>
      </w:r>
    </w:p>
    <w:p w14:paraId="55FFEE1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3.3 模拟量采集模块</w:t>
      </w:r>
    </w:p>
    <w:p w14:paraId="565E2B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通道数：至少具备8通道/模块；</w:t>
      </w:r>
    </w:p>
    <w:p w14:paraId="75B954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输入方式：IEPE、SIN-DC、DIF-DC、AC、GND；</w:t>
      </w:r>
    </w:p>
    <w:p w14:paraId="61D882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IEPE电源：4mA/24V；</w:t>
      </w:r>
    </w:p>
    <w:p w14:paraId="4A0F93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电压量程：至少包含±10V、±5V、±2V、±1V、±500mV、±200mV、±100mV；</w:t>
      </w:r>
    </w:p>
    <w:p w14:paraId="52A3B0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电压示值误差：不大于0.1%F.S；</w:t>
      </w:r>
    </w:p>
    <w:p w14:paraId="6CAB55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非线性：满度的0.1%；</w:t>
      </w:r>
    </w:p>
    <w:p w14:paraId="040148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通道隔离度：≥80dB；</w:t>
      </w:r>
    </w:p>
    <w:p w14:paraId="40471A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通道间同步性：≤50ns；</w:t>
      </w:r>
    </w:p>
    <w:p w14:paraId="02DA70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连续采样速率：通道同步采样时，采样速率可达到200kHz/通道；</w:t>
      </w:r>
    </w:p>
    <w:p w14:paraId="111B9B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激励电压：包含5VDC、10VDC、24VDC，最大输出电流可达到30mA/通道。</w:t>
      </w:r>
    </w:p>
    <w:p w14:paraId="6B2FEAE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3.4 CAN采集模块</w:t>
      </w:r>
    </w:p>
    <w:p w14:paraId="285393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通道数：至少具备2通道/模块；</w:t>
      </w:r>
    </w:p>
    <w:p w14:paraId="294CCC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通讯协议：采用CAN2.0B标准通讯协议；</w:t>
      </w:r>
    </w:p>
    <w:p w14:paraId="025F00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通讯波特率：4800bps～1Mbps可选；</w:t>
      </w:r>
    </w:p>
    <w:p w14:paraId="11A075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通讯方式：双向CAN总线，可实现发送与接收；</w:t>
      </w:r>
    </w:p>
    <w:p w14:paraId="53D0F4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CAN发送间隔：可由用户进行设置，包括：10ms、50ms、100ms等；</w:t>
      </w:r>
    </w:p>
    <w:p w14:paraId="122F90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支持dbc格式文件导入与解析；</w:t>
      </w:r>
    </w:p>
    <w:p w14:paraId="45BDFF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支持标准帧及扩展帧格式；</w:t>
      </w:r>
    </w:p>
    <w:p w14:paraId="24F735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支持模拟通道数据发送。</w:t>
      </w:r>
    </w:p>
    <w:p w14:paraId="3AD3742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3.5 数据采集软件技术要求</w:t>
      </w:r>
    </w:p>
    <w:p w14:paraId="5D1D01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1）系统参数设置：功能包括通道选择，量程选择，滤波选择，采样频率设置，传感器参数设置，传感器标定，传感器偏置归零等；</w:t>
      </w:r>
    </w:p>
    <w:p w14:paraId="3CC97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2）系统可自动识别硬件，快捷的进行测量；</w:t>
      </w:r>
    </w:p>
    <w:p w14:paraId="180387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3）系统能够自动标识设备硬件工作状态，便于设备故障识别；</w:t>
      </w:r>
    </w:p>
    <w:p w14:paraId="5A7793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4）系统具备示波器、X/Y记录仪、视频记录仪、频谱分析仪等功能；</w:t>
      </w:r>
    </w:p>
    <w:p w14:paraId="3869C3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5）系统可进行逻辑运算通道的编辑，可进行三角、微分、积分，逻辑运算；</w:t>
      </w:r>
    </w:p>
    <w:p w14:paraId="4C7CA8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6）系统具备统计分析功能，可以任意定义时间间隔，进行各种统计值(如最大值、最小值、峰值、平均值、均方根值、指数平均、线性平均、峰值保持平均等)计算、分析和显示，可以以直方图显示。</w:t>
      </w:r>
    </w:p>
    <w:p w14:paraId="654937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7）系统可以在数据采集、存储过程中，回看之前的数据。</w:t>
      </w:r>
    </w:p>
    <w:p w14:paraId="44E2E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8）数据文件可导出多种格式的文件：Flexpro、Matlab、txt、excel、dat、unv 等，系统具有分析评价功能，可自动化生成报告。</w:t>
      </w:r>
    </w:p>
    <w:p w14:paraId="4F86260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3.6 传感器要求</w:t>
      </w:r>
    </w:p>
    <w:p w14:paraId="686CF2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1）采用国际知名品牌电流传感器（如：日置、横河等）。电流钳：10个交流传感器（可测直流），精度不低于±0.03%FS，每个电流钳额外备用配带5米长延长线。规格型号由投标方推荐，招标方确认。</w:t>
      </w:r>
    </w:p>
    <w:p w14:paraId="36AFF3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电压传感器。电压测试探头：10路，带鳄鱼钳，精度不低于±0.03%FS。每个电压测试探头额外备用配带5米长延长线。电压最大可直接测量DC1000V/AC700V，与数据采集设备组合使用，采样频率不低于1MS/s。规格型号由投标方推荐，招标方确认。</w:t>
      </w:r>
    </w:p>
    <w:p w14:paraId="171186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 其他要求</w:t>
      </w:r>
    </w:p>
    <w:p w14:paraId="165365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设备及设备所含测量元件必须经过省级或省级以上计量单位计量认证。</w:t>
      </w:r>
    </w:p>
    <w:p w14:paraId="187BCDF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 技术文件要求</w:t>
      </w:r>
    </w:p>
    <w:p w14:paraId="60991B4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4.1 程序图纸要求</w:t>
      </w:r>
    </w:p>
    <w:p w14:paraId="6CB937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1）投标方需要提供所有设备的源代码，包括但不限于PLC程序、HMI程序、机器人程序、视觉程序、伺服等。</w:t>
      </w:r>
    </w:p>
    <w:p w14:paraId="18801F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2）供方所提供的程序不得设置任何密码、保护等限制手段，PLC 不得设置修改下载权限，功能块不得设置密码保护。</w:t>
      </w:r>
    </w:p>
    <w:p w14:paraId="06582C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3）界面等需要密码保护的程序，供方必须提供所有级别的用户名、密码。</w:t>
      </w:r>
    </w:p>
    <w:p w14:paraId="7FA504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4）供方需在设备入场前提供设备程序源码，HMI 界面各级用户名和密码，并保证与现场程序一致。</w:t>
      </w:r>
    </w:p>
    <w:p w14:paraId="78B46A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5）供方需在终验收前提供最新的设备程序源码和电气图纸，图纸要求为可编辑原格式（EPLAN、CAD 格式）且与实际接线一致。</w:t>
      </w:r>
    </w:p>
    <w:p w14:paraId="3C7802C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★4.2 接口协议要求</w:t>
      </w:r>
    </w:p>
    <w:p w14:paraId="631095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1）供方免费开放所有通讯接口，包括但不限于以太网、RS232、RS485、PROFIBUS、PROFINET、MODBUS 等常见接口，以及设备特有的专用接口。</w:t>
      </w:r>
    </w:p>
    <w:p w14:paraId="0E532B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2）供方免费提供数据交互功能，交互数据包括但不限于实时数据、历史数据、报警信息等。</w:t>
      </w:r>
    </w:p>
    <w:p w14:paraId="27C1B8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3）供方在设备入场前提供接口的技术文档和参数说明，包括但不限于接口协议、通讯速率、数据格式等。</w:t>
      </w:r>
    </w:p>
    <w:p w14:paraId="4DC8E0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4）设备使用周期内，供方免费派遣技术人员与甲方调试团队共同进行设备通讯接口的调试工作。</w:t>
      </w:r>
    </w:p>
    <w:p w14:paraId="2E50F05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 供货周期</w:t>
      </w:r>
    </w:p>
    <w:p w14:paraId="0E90072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合同签订后3个月以内到货</w:t>
      </w:r>
      <w:r>
        <w:rPr>
          <w:rFonts w:hint="eastAsia" w:ascii="宋体" w:hAnsi="宋体" w:eastAsia="宋体" w:cs="宋体"/>
          <w:sz w:val="24"/>
          <w:szCs w:val="24"/>
          <w:lang w:val="en-US" w:eastAsia="zh-CN"/>
        </w:rPr>
        <w:t>。</w:t>
      </w:r>
    </w:p>
    <w:p w14:paraId="3AE4D9DD">
      <w:pPr>
        <w:pStyle w:val="121"/>
        <w:spacing w:line="360" w:lineRule="auto"/>
        <w:rPr>
          <w:rFonts w:ascii="宋体" w:hAnsi="宋体" w:cs="宋体"/>
          <w:color w:val="auto"/>
        </w:rPr>
      </w:pPr>
      <w:r>
        <w:rPr>
          <w:rFonts w:hint="eastAsia" w:ascii="宋体" w:hAnsi="宋体" w:cs="宋体"/>
          <w:color w:val="auto"/>
        </w:rPr>
        <w:t>四、执行标准</w:t>
      </w:r>
    </w:p>
    <w:p w14:paraId="1FFEC0F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C16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B2862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D5FE6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21C51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18F8E5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63C1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808"/>
        <w:gridCol w:w="2269"/>
        <w:gridCol w:w="1098"/>
      </w:tblGrid>
      <w:tr w14:paraId="55BC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79390BE">
            <w:pPr>
              <w:jc w:val="center"/>
              <w:rPr>
                <w:rFonts w:hint="eastAsia" w:ascii="宋体" w:hAnsi="宋体" w:cs="宋体"/>
                <w:b/>
                <w:sz w:val="24"/>
                <w:szCs w:val="24"/>
              </w:rPr>
            </w:pPr>
            <w:r>
              <w:rPr>
                <w:rFonts w:hint="eastAsia" w:ascii="宋体" w:hAnsi="宋体" w:cs="宋体"/>
                <w:b/>
                <w:sz w:val="24"/>
                <w:szCs w:val="24"/>
              </w:rPr>
              <w:t>序号</w:t>
            </w:r>
          </w:p>
        </w:tc>
        <w:tc>
          <w:tcPr>
            <w:tcW w:w="4808" w:type="dxa"/>
            <w:vAlign w:val="center"/>
          </w:tcPr>
          <w:p w14:paraId="132490E2">
            <w:pPr>
              <w:jc w:val="center"/>
              <w:rPr>
                <w:rFonts w:hint="eastAsia" w:ascii="宋体" w:hAnsi="宋体" w:cs="宋体"/>
                <w:b/>
                <w:sz w:val="24"/>
                <w:szCs w:val="24"/>
              </w:rPr>
            </w:pPr>
            <w:r>
              <w:rPr>
                <w:rFonts w:hint="eastAsia" w:ascii="宋体" w:hAnsi="宋体" w:cs="宋体"/>
                <w:b/>
                <w:sz w:val="24"/>
                <w:szCs w:val="24"/>
              </w:rPr>
              <w:t>标准名称</w:t>
            </w:r>
          </w:p>
        </w:tc>
        <w:tc>
          <w:tcPr>
            <w:tcW w:w="2269" w:type="dxa"/>
            <w:vAlign w:val="center"/>
          </w:tcPr>
          <w:p w14:paraId="7CD6E8FE">
            <w:pPr>
              <w:jc w:val="center"/>
              <w:rPr>
                <w:rFonts w:hint="eastAsia" w:ascii="宋体" w:hAnsi="宋体" w:cs="宋体"/>
                <w:b/>
                <w:sz w:val="24"/>
                <w:szCs w:val="24"/>
              </w:rPr>
            </w:pPr>
            <w:r>
              <w:rPr>
                <w:rFonts w:hint="eastAsia" w:ascii="宋体" w:hAnsi="宋体" w:cs="宋体"/>
                <w:b/>
                <w:sz w:val="24"/>
                <w:szCs w:val="24"/>
              </w:rPr>
              <w:t>标准编号</w:t>
            </w:r>
          </w:p>
        </w:tc>
        <w:tc>
          <w:tcPr>
            <w:tcW w:w="1098" w:type="dxa"/>
            <w:vAlign w:val="center"/>
          </w:tcPr>
          <w:p w14:paraId="5BB54FA2">
            <w:pPr>
              <w:jc w:val="center"/>
              <w:rPr>
                <w:rFonts w:hint="eastAsia" w:ascii="宋体" w:hAnsi="宋体" w:cs="宋体"/>
                <w:b/>
                <w:sz w:val="24"/>
                <w:szCs w:val="24"/>
              </w:rPr>
            </w:pPr>
            <w:r>
              <w:rPr>
                <w:rFonts w:hint="eastAsia" w:ascii="宋体" w:hAnsi="宋体" w:cs="宋体"/>
                <w:b/>
                <w:sz w:val="24"/>
                <w:szCs w:val="24"/>
              </w:rPr>
              <w:t>备注</w:t>
            </w:r>
          </w:p>
        </w:tc>
      </w:tr>
      <w:tr w14:paraId="34A3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4A1D276F">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1</w:t>
            </w:r>
          </w:p>
        </w:tc>
        <w:tc>
          <w:tcPr>
            <w:tcW w:w="4808" w:type="dxa"/>
            <w:vAlign w:val="center"/>
          </w:tcPr>
          <w:p w14:paraId="5B7EB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电动汽车能量消耗量和续驶里程试验方法 第1部分：轻型汽车</w:t>
            </w:r>
          </w:p>
        </w:tc>
        <w:tc>
          <w:tcPr>
            <w:tcW w:w="2269" w:type="dxa"/>
            <w:vAlign w:val="center"/>
          </w:tcPr>
          <w:p w14:paraId="2763AAF6">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GB/T 18386.1-2021</w:t>
            </w:r>
          </w:p>
        </w:tc>
        <w:tc>
          <w:tcPr>
            <w:tcW w:w="1098" w:type="dxa"/>
            <w:vAlign w:val="center"/>
          </w:tcPr>
          <w:p w14:paraId="35A2765C">
            <w:pPr>
              <w:autoSpaceDE w:val="0"/>
              <w:autoSpaceDN w:val="0"/>
              <w:adjustRightInd w:val="0"/>
              <w:spacing w:line="240" w:lineRule="auto"/>
              <w:jc w:val="center"/>
              <w:rPr>
                <w:rFonts w:hint="eastAsia" w:ascii="宋体" w:hAnsi="宋体" w:cs="宋体"/>
                <w:sz w:val="24"/>
                <w:szCs w:val="24"/>
              </w:rPr>
            </w:pPr>
          </w:p>
        </w:tc>
      </w:tr>
      <w:tr w14:paraId="372D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EF920A3">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2</w:t>
            </w:r>
          </w:p>
        </w:tc>
        <w:tc>
          <w:tcPr>
            <w:tcW w:w="4808" w:type="dxa"/>
            <w:vAlign w:val="center"/>
          </w:tcPr>
          <w:p w14:paraId="366619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电动汽车能量消耗量和续驶里程试验方法 第2部分：重型商用车辆</w:t>
            </w:r>
          </w:p>
        </w:tc>
        <w:tc>
          <w:tcPr>
            <w:tcW w:w="2269" w:type="dxa"/>
            <w:vAlign w:val="center"/>
          </w:tcPr>
          <w:p w14:paraId="05FD9E19">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GB/T 18386.2-2022</w:t>
            </w:r>
          </w:p>
        </w:tc>
        <w:tc>
          <w:tcPr>
            <w:tcW w:w="1098" w:type="dxa"/>
            <w:vAlign w:val="center"/>
          </w:tcPr>
          <w:p w14:paraId="6DA6E85D">
            <w:pPr>
              <w:autoSpaceDE w:val="0"/>
              <w:autoSpaceDN w:val="0"/>
              <w:adjustRightInd w:val="0"/>
              <w:spacing w:line="240" w:lineRule="auto"/>
              <w:jc w:val="center"/>
              <w:rPr>
                <w:rFonts w:hint="eastAsia" w:ascii="宋体" w:hAnsi="宋体" w:cs="宋体"/>
                <w:sz w:val="24"/>
                <w:szCs w:val="24"/>
              </w:rPr>
            </w:pPr>
          </w:p>
        </w:tc>
      </w:tr>
    </w:tbl>
    <w:p w14:paraId="38EB2DCC">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058"/>
        <w:gridCol w:w="783"/>
        <w:gridCol w:w="889"/>
        <w:gridCol w:w="4551"/>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058"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889"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4551"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89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2D1125D">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8" w:type="dxa"/>
            <w:vAlign w:val="center"/>
          </w:tcPr>
          <w:p w14:paraId="16D00F4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数据采集主机</w:t>
            </w:r>
          </w:p>
        </w:tc>
        <w:tc>
          <w:tcPr>
            <w:tcW w:w="783" w:type="dxa"/>
            <w:vAlign w:val="center"/>
          </w:tcPr>
          <w:p w14:paraId="129ADE0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183AB5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52A153E1">
            <w:pPr>
              <w:jc w:val="center"/>
              <w:textAlignment w:val="center"/>
              <w:rPr>
                <w:rFonts w:hint="eastAsia" w:ascii="宋体" w:hAnsi="宋体" w:eastAsia="宋体" w:cs="宋体"/>
                <w:sz w:val="24"/>
                <w:szCs w:val="24"/>
              </w:rPr>
            </w:pP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D0BC65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058" w:type="dxa"/>
            <w:vAlign w:val="center"/>
          </w:tcPr>
          <w:p w14:paraId="6C73311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电力输入模块</w:t>
            </w:r>
          </w:p>
        </w:tc>
        <w:tc>
          <w:tcPr>
            <w:tcW w:w="783" w:type="dxa"/>
            <w:vAlign w:val="center"/>
          </w:tcPr>
          <w:p w14:paraId="326944CC">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4A9D9F4B">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77B8E34F">
            <w:pPr>
              <w:jc w:val="center"/>
              <w:textAlignment w:val="center"/>
              <w:rPr>
                <w:rFonts w:hint="eastAsia" w:ascii="宋体" w:hAnsi="宋体" w:eastAsia="宋体" w:cs="宋体"/>
                <w:sz w:val="24"/>
                <w:szCs w:val="24"/>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6A4AA3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058" w:type="dxa"/>
            <w:vAlign w:val="center"/>
          </w:tcPr>
          <w:p w14:paraId="410E281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模拟量采集模块</w:t>
            </w:r>
          </w:p>
        </w:tc>
        <w:tc>
          <w:tcPr>
            <w:tcW w:w="783" w:type="dxa"/>
            <w:vAlign w:val="center"/>
          </w:tcPr>
          <w:p w14:paraId="6A82579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1A09ACB">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3</w:t>
            </w:r>
          </w:p>
        </w:tc>
        <w:tc>
          <w:tcPr>
            <w:tcW w:w="4551" w:type="dxa"/>
            <w:vAlign w:val="center"/>
          </w:tcPr>
          <w:p w14:paraId="3F5B97C9">
            <w:pPr>
              <w:jc w:val="center"/>
              <w:textAlignment w:val="center"/>
              <w:rPr>
                <w:rFonts w:hint="eastAsia" w:ascii="宋体" w:hAnsi="宋体" w:eastAsia="宋体" w:cs="宋体"/>
                <w:sz w:val="24"/>
                <w:szCs w:val="24"/>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B70393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058" w:type="dxa"/>
            <w:vAlign w:val="center"/>
          </w:tcPr>
          <w:p w14:paraId="48AA1879">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CAN采集模块</w:t>
            </w:r>
          </w:p>
        </w:tc>
        <w:tc>
          <w:tcPr>
            <w:tcW w:w="783" w:type="dxa"/>
            <w:vAlign w:val="center"/>
          </w:tcPr>
          <w:p w14:paraId="05A5E9EC">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96FC427">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20751F11">
            <w:pPr>
              <w:jc w:val="center"/>
              <w:textAlignment w:val="center"/>
              <w:rPr>
                <w:rFonts w:hint="eastAsia" w:ascii="宋体" w:hAnsi="宋体" w:eastAsia="宋体" w:cs="宋体"/>
                <w:sz w:val="24"/>
                <w:szCs w:val="24"/>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6F4BC6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058" w:type="dxa"/>
            <w:vAlign w:val="center"/>
          </w:tcPr>
          <w:p w14:paraId="00D1E62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数据采集软件</w:t>
            </w:r>
          </w:p>
        </w:tc>
        <w:tc>
          <w:tcPr>
            <w:tcW w:w="783" w:type="dxa"/>
            <w:vAlign w:val="center"/>
          </w:tcPr>
          <w:p w14:paraId="6EA31F6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889" w:type="dxa"/>
            <w:vAlign w:val="center"/>
          </w:tcPr>
          <w:p w14:paraId="48BE316D">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7FABFEE7">
            <w:pPr>
              <w:jc w:val="center"/>
              <w:textAlignment w:val="center"/>
              <w:rPr>
                <w:rFonts w:hint="eastAsia" w:ascii="宋体" w:hAnsi="宋体" w:eastAsia="宋体" w:cs="宋体"/>
                <w:sz w:val="24"/>
                <w:szCs w:val="24"/>
              </w:rPr>
            </w:pPr>
          </w:p>
        </w:tc>
      </w:tr>
      <w:tr w14:paraId="3D52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D8D30B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058" w:type="dxa"/>
            <w:vAlign w:val="center"/>
          </w:tcPr>
          <w:p w14:paraId="27D7F00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电流传感器</w:t>
            </w:r>
          </w:p>
        </w:tc>
        <w:tc>
          <w:tcPr>
            <w:tcW w:w="783" w:type="dxa"/>
            <w:vAlign w:val="center"/>
          </w:tcPr>
          <w:p w14:paraId="0762EFD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75B10B9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10</w:t>
            </w:r>
          </w:p>
        </w:tc>
        <w:tc>
          <w:tcPr>
            <w:tcW w:w="4551" w:type="dxa"/>
            <w:vAlign w:val="center"/>
          </w:tcPr>
          <w:p w14:paraId="7E2937C5">
            <w:pPr>
              <w:jc w:val="center"/>
              <w:textAlignment w:val="center"/>
              <w:rPr>
                <w:rFonts w:hint="eastAsia" w:ascii="宋体" w:hAnsi="宋体" w:eastAsia="宋体" w:cs="宋体"/>
                <w:sz w:val="24"/>
                <w:szCs w:val="24"/>
              </w:rPr>
            </w:pPr>
          </w:p>
        </w:tc>
      </w:tr>
      <w:tr w14:paraId="319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15EC92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058" w:type="dxa"/>
            <w:vAlign w:val="center"/>
          </w:tcPr>
          <w:p w14:paraId="4B51920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783" w:type="dxa"/>
            <w:vAlign w:val="center"/>
          </w:tcPr>
          <w:p w14:paraId="5E3365C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889" w:type="dxa"/>
            <w:vAlign w:val="center"/>
          </w:tcPr>
          <w:p w14:paraId="20F6D59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4551" w:type="dxa"/>
            <w:vAlign w:val="center"/>
          </w:tcPr>
          <w:p w14:paraId="275E5C26">
            <w:pPr>
              <w:jc w:val="center"/>
              <w:textAlignment w:val="center"/>
              <w:rPr>
                <w:rFonts w:hint="eastAsia" w:ascii="宋体" w:hAnsi="宋体" w:eastAsia="宋体" w:cs="宋体"/>
                <w:sz w:val="24"/>
                <w:szCs w:val="24"/>
              </w:rPr>
            </w:pPr>
          </w:p>
        </w:tc>
      </w:tr>
      <w:tr w14:paraId="7053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B61023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058" w:type="dxa"/>
            <w:vAlign w:val="center"/>
          </w:tcPr>
          <w:p w14:paraId="46F81B2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783" w:type="dxa"/>
            <w:vAlign w:val="center"/>
          </w:tcPr>
          <w:p w14:paraId="422A46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5D3A8A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404CE629">
            <w:pPr>
              <w:jc w:val="center"/>
              <w:textAlignment w:val="center"/>
              <w:rPr>
                <w:rFonts w:hint="eastAsia" w:ascii="宋体" w:hAnsi="宋体" w:eastAsia="宋体" w:cs="宋体"/>
                <w:sz w:val="24"/>
                <w:szCs w:val="24"/>
              </w:rPr>
            </w:pPr>
          </w:p>
        </w:tc>
      </w:tr>
      <w:tr w14:paraId="3BFE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16ABF2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058" w:type="dxa"/>
            <w:vAlign w:val="center"/>
          </w:tcPr>
          <w:p w14:paraId="07D9C7F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备品备件</w:t>
            </w:r>
          </w:p>
        </w:tc>
        <w:tc>
          <w:tcPr>
            <w:tcW w:w="783" w:type="dxa"/>
            <w:vAlign w:val="center"/>
          </w:tcPr>
          <w:p w14:paraId="69B44C1E">
            <w:pPr>
              <w:jc w:val="center"/>
              <w:textAlignment w:val="center"/>
              <w:rPr>
                <w:rFonts w:hint="eastAsia" w:ascii="宋体" w:hAnsi="宋体" w:eastAsia="宋体" w:cs="宋体"/>
                <w:sz w:val="24"/>
                <w:szCs w:val="24"/>
              </w:rPr>
            </w:pPr>
          </w:p>
        </w:tc>
        <w:tc>
          <w:tcPr>
            <w:tcW w:w="889" w:type="dxa"/>
            <w:vAlign w:val="center"/>
          </w:tcPr>
          <w:p w14:paraId="59C6EE1D">
            <w:pPr>
              <w:jc w:val="center"/>
              <w:textAlignment w:val="center"/>
              <w:rPr>
                <w:rFonts w:hint="eastAsia" w:ascii="宋体" w:hAnsi="宋体" w:eastAsia="宋体" w:cs="宋体"/>
                <w:sz w:val="24"/>
                <w:szCs w:val="24"/>
              </w:rPr>
            </w:pPr>
          </w:p>
        </w:tc>
        <w:tc>
          <w:tcPr>
            <w:tcW w:w="4551" w:type="dxa"/>
            <w:vAlign w:val="center"/>
          </w:tcPr>
          <w:p w14:paraId="02D6BA26">
            <w:pPr>
              <w:jc w:val="center"/>
              <w:textAlignment w:val="center"/>
              <w:rPr>
                <w:rFonts w:hint="eastAsia" w:ascii="宋体" w:hAnsi="宋体" w:eastAsia="宋体" w:cs="宋体"/>
                <w:sz w:val="24"/>
                <w:szCs w:val="24"/>
              </w:rPr>
            </w:pPr>
          </w:p>
        </w:tc>
      </w:tr>
      <w:tr w14:paraId="29E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80159AD">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11</w:t>
            </w:r>
          </w:p>
        </w:tc>
        <w:tc>
          <w:tcPr>
            <w:tcW w:w="2058" w:type="dxa"/>
            <w:vAlign w:val="center"/>
          </w:tcPr>
          <w:p w14:paraId="7797DE5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技术资料</w:t>
            </w:r>
          </w:p>
        </w:tc>
        <w:tc>
          <w:tcPr>
            <w:tcW w:w="783" w:type="dxa"/>
            <w:vAlign w:val="center"/>
          </w:tcPr>
          <w:p w14:paraId="758E7545">
            <w:pPr>
              <w:jc w:val="center"/>
              <w:textAlignment w:val="center"/>
              <w:rPr>
                <w:rFonts w:hint="eastAsia" w:ascii="宋体" w:hAnsi="宋体" w:eastAsia="宋体" w:cs="宋体"/>
                <w:sz w:val="24"/>
                <w:szCs w:val="24"/>
                <w:lang w:val="en-US" w:eastAsia="zh-CN"/>
              </w:rPr>
            </w:pPr>
          </w:p>
        </w:tc>
        <w:tc>
          <w:tcPr>
            <w:tcW w:w="889" w:type="dxa"/>
            <w:vAlign w:val="center"/>
          </w:tcPr>
          <w:p w14:paraId="326162BA">
            <w:pPr>
              <w:jc w:val="center"/>
              <w:textAlignment w:val="center"/>
              <w:rPr>
                <w:rFonts w:hint="eastAsia" w:ascii="宋体" w:hAnsi="宋体" w:eastAsia="宋体" w:cs="宋体"/>
                <w:sz w:val="24"/>
                <w:szCs w:val="24"/>
                <w:lang w:val="en-US" w:eastAsia="zh-CN"/>
              </w:rPr>
            </w:pPr>
          </w:p>
        </w:tc>
        <w:tc>
          <w:tcPr>
            <w:tcW w:w="4551" w:type="dxa"/>
            <w:vAlign w:val="center"/>
          </w:tcPr>
          <w:p w14:paraId="03031074">
            <w:pPr>
              <w:jc w:val="center"/>
              <w:textAlignment w:val="center"/>
              <w:rPr>
                <w:rFonts w:hint="eastAsia" w:ascii="宋体" w:hAnsi="宋体" w:eastAsia="宋体" w:cs="宋体"/>
                <w:sz w:val="24"/>
                <w:szCs w:val="24"/>
                <w:lang w:val="en-US" w:eastAsia="zh-CN"/>
              </w:rPr>
            </w:pPr>
          </w:p>
        </w:tc>
      </w:tr>
      <w:tr w14:paraId="381F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D81910C">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12</w:t>
            </w:r>
          </w:p>
        </w:tc>
        <w:tc>
          <w:tcPr>
            <w:tcW w:w="2058" w:type="dxa"/>
            <w:vAlign w:val="center"/>
          </w:tcPr>
          <w:p w14:paraId="7241600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包装、运输、保险</w:t>
            </w:r>
          </w:p>
        </w:tc>
        <w:tc>
          <w:tcPr>
            <w:tcW w:w="783" w:type="dxa"/>
            <w:vAlign w:val="center"/>
          </w:tcPr>
          <w:p w14:paraId="0F5F770B">
            <w:pPr>
              <w:jc w:val="center"/>
              <w:textAlignment w:val="center"/>
              <w:rPr>
                <w:rFonts w:hint="eastAsia" w:ascii="宋体" w:hAnsi="宋体" w:eastAsia="宋体" w:cs="宋体"/>
                <w:sz w:val="24"/>
                <w:szCs w:val="24"/>
                <w:lang w:val="en-US" w:eastAsia="zh-CN"/>
              </w:rPr>
            </w:pPr>
          </w:p>
        </w:tc>
        <w:tc>
          <w:tcPr>
            <w:tcW w:w="889" w:type="dxa"/>
            <w:vAlign w:val="center"/>
          </w:tcPr>
          <w:p w14:paraId="0D7D5CE2">
            <w:pPr>
              <w:jc w:val="center"/>
              <w:textAlignment w:val="center"/>
              <w:rPr>
                <w:rFonts w:hint="eastAsia" w:ascii="宋体" w:hAnsi="宋体" w:eastAsia="宋体" w:cs="宋体"/>
                <w:sz w:val="24"/>
                <w:szCs w:val="24"/>
                <w:lang w:val="en-US" w:eastAsia="zh-CN"/>
              </w:rPr>
            </w:pPr>
          </w:p>
        </w:tc>
        <w:tc>
          <w:tcPr>
            <w:tcW w:w="4551" w:type="dxa"/>
            <w:vAlign w:val="center"/>
          </w:tcPr>
          <w:p w14:paraId="497C54D6">
            <w:pPr>
              <w:jc w:val="center"/>
              <w:textAlignment w:val="center"/>
              <w:rPr>
                <w:rFonts w:hint="eastAsia" w:ascii="宋体" w:hAnsi="宋体" w:eastAsia="宋体" w:cs="宋体"/>
                <w:sz w:val="24"/>
                <w:szCs w:val="24"/>
                <w:lang w:val="en-US" w:eastAsia="zh-CN"/>
              </w:rPr>
            </w:pPr>
          </w:p>
        </w:tc>
      </w:tr>
      <w:tr w14:paraId="76BE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11B9071">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13</w:t>
            </w:r>
          </w:p>
        </w:tc>
        <w:tc>
          <w:tcPr>
            <w:tcW w:w="2058" w:type="dxa"/>
            <w:vAlign w:val="center"/>
          </w:tcPr>
          <w:p w14:paraId="48FE9D7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安装、调试、检验</w:t>
            </w:r>
          </w:p>
        </w:tc>
        <w:tc>
          <w:tcPr>
            <w:tcW w:w="783" w:type="dxa"/>
            <w:vAlign w:val="center"/>
          </w:tcPr>
          <w:p w14:paraId="21142212">
            <w:pPr>
              <w:jc w:val="center"/>
              <w:textAlignment w:val="center"/>
              <w:rPr>
                <w:rFonts w:hint="eastAsia" w:ascii="宋体" w:hAnsi="宋体" w:eastAsia="宋体" w:cs="宋体"/>
                <w:sz w:val="24"/>
                <w:szCs w:val="24"/>
                <w:lang w:val="en-US" w:eastAsia="zh-CN"/>
              </w:rPr>
            </w:pPr>
          </w:p>
        </w:tc>
        <w:tc>
          <w:tcPr>
            <w:tcW w:w="889" w:type="dxa"/>
            <w:vAlign w:val="center"/>
          </w:tcPr>
          <w:p w14:paraId="1DB203A3">
            <w:pPr>
              <w:jc w:val="center"/>
              <w:textAlignment w:val="center"/>
              <w:rPr>
                <w:rFonts w:hint="eastAsia" w:ascii="宋体" w:hAnsi="宋体" w:eastAsia="宋体" w:cs="宋体"/>
                <w:sz w:val="24"/>
                <w:szCs w:val="24"/>
                <w:lang w:val="en-US" w:eastAsia="zh-CN"/>
              </w:rPr>
            </w:pPr>
          </w:p>
        </w:tc>
        <w:tc>
          <w:tcPr>
            <w:tcW w:w="4551" w:type="dxa"/>
            <w:vAlign w:val="center"/>
          </w:tcPr>
          <w:p w14:paraId="1AC2C53C">
            <w:pPr>
              <w:jc w:val="center"/>
              <w:textAlignment w:val="center"/>
              <w:rPr>
                <w:rFonts w:hint="eastAsia" w:ascii="宋体" w:hAnsi="宋体" w:eastAsia="宋体" w:cs="宋体"/>
                <w:sz w:val="24"/>
                <w:szCs w:val="24"/>
                <w:lang w:val="en-US" w:eastAsia="zh-CN"/>
              </w:rPr>
            </w:pPr>
          </w:p>
        </w:tc>
      </w:tr>
      <w:tr w14:paraId="478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3CF8B85">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14</w:t>
            </w:r>
          </w:p>
        </w:tc>
        <w:tc>
          <w:tcPr>
            <w:tcW w:w="2058" w:type="dxa"/>
            <w:vAlign w:val="center"/>
          </w:tcPr>
          <w:p w14:paraId="328B2EB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设计、培训、维保</w:t>
            </w:r>
          </w:p>
        </w:tc>
        <w:tc>
          <w:tcPr>
            <w:tcW w:w="783" w:type="dxa"/>
            <w:vAlign w:val="center"/>
          </w:tcPr>
          <w:p w14:paraId="4E3D5581">
            <w:pPr>
              <w:jc w:val="center"/>
              <w:textAlignment w:val="center"/>
              <w:rPr>
                <w:rFonts w:hint="eastAsia" w:ascii="宋体" w:hAnsi="宋体" w:eastAsia="宋体" w:cs="宋体"/>
                <w:sz w:val="24"/>
                <w:szCs w:val="24"/>
                <w:lang w:val="en-US" w:eastAsia="zh-CN"/>
              </w:rPr>
            </w:pPr>
          </w:p>
        </w:tc>
        <w:tc>
          <w:tcPr>
            <w:tcW w:w="889" w:type="dxa"/>
            <w:vAlign w:val="center"/>
          </w:tcPr>
          <w:p w14:paraId="18B2780D">
            <w:pPr>
              <w:jc w:val="center"/>
              <w:textAlignment w:val="center"/>
              <w:rPr>
                <w:rFonts w:hint="eastAsia" w:ascii="宋体" w:hAnsi="宋体" w:eastAsia="宋体" w:cs="宋体"/>
                <w:sz w:val="24"/>
                <w:szCs w:val="24"/>
                <w:lang w:val="en-US" w:eastAsia="zh-CN"/>
              </w:rPr>
            </w:pPr>
          </w:p>
        </w:tc>
        <w:tc>
          <w:tcPr>
            <w:tcW w:w="4551" w:type="dxa"/>
            <w:vAlign w:val="center"/>
          </w:tcPr>
          <w:p w14:paraId="17E55114">
            <w:pPr>
              <w:jc w:val="center"/>
              <w:textAlignment w:val="center"/>
              <w:rPr>
                <w:rFonts w:hint="eastAsia" w:ascii="宋体" w:hAnsi="宋体" w:eastAsia="宋体" w:cs="宋体"/>
                <w:sz w:val="24"/>
                <w:szCs w:val="24"/>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59282D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不含联接所需螺栓等紧固件和其它必需配件）。</w:t>
      </w:r>
    </w:p>
    <w:p w14:paraId="7564D4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3839C5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1B4E98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以“交钥匙”方式采购，在满足技术标书本节上述要求之外，同时包括整个施工过程中的设备土建基础、配电系统、循环水系统、空调系统、压缩空气、沟槽、管道、改装、清理、运输装卸等所有基建相关工作，以及货物的运行使用所需要的过桥、护栏、防护网、盖板等辅助设施，不产生报价外的其他费用。</w:t>
      </w:r>
    </w:p>
    <w:p w14:paraId="3138A8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659929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5.投标方应提供包括为保证货物（或生产线）自身正常运行所必需的、适应使用地点条件的通风、冷却、温控系统等。</w:t>
      </w:r>
    </w:p>
    <w:p w14:paraId="3FD276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0CFA54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7.投标方应提供货物（或生产线）维修所必需的专用工具，并在投标报价部分说明数。</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35C263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b/>
          <w:bCs/>
          <w:sz w:val="24"/>
          <w:szCs w:val="24"/>
          <w:highlight w:val="yellow"/>
        </w:rPr>
        <w:t>一年</w:t>
      </w:r>
      <w:r>
        <w:rPr>
          <w:rFonts w:hint="eastAsia" w:ascii="宋体" w:hAnsi="宋体" w:eastAsia="宋体" w:cs="宋体"/>
          <w:sz w:val="24"/>
          <w:szCs w:val="24"/>
        </w:rPr>
        <w:t>所自备自用的备品备件、易损件和专用耗材。</w:t>
      </w:r>
    </w:p>
    <w:p w14:paraId="484332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4E25F36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2</w:t>
      </w:r>
      <w:r>
        <w:rPr>
          <w:rFonts w:hint="eastAsia" w:ascii="宋体" w:hAnsi="宋体" w:eastAsia="宋体" w:cs="宋体"/>
          <w:bCs/>
          <w:sz w:val="24"/>
          <w:szCs w:val="24"/>
          <w:u w:val="single"/>
          <w:shd w:val="pct10" w:color="auto" w:fill="FFFFFF"/>
        </w:rPr>
        <w:t xml:space="preserve">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2F54D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2863A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0120B4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.在终验收前，提供包括货物的备品备件、易损件和专用耗材的图纸及技术参数、技术要求等资料。</w:t>
      </w:r>
    </w:p>
    <w:p w14:paraId="7FA67C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858E1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49ED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.本条款所列的技术资料、图片、影像等，投标人应各提供</w:t>
      </w:r>
      <w:r>
        <w:rPr>
          <w:rFonts w:hint="eastAsia" w:ascii="宋体" w:hAnsi="宋体" w:eastAsia="宋体" w:cs="宋体"/>
          <w:sz w:val="24"/>
          <w:szCs w:val="24"/>
          <w:lang w:val="en-US" w:eastAsia="zh-CN"/>
        </w:rPr>
        <w:t>5</w:t>
      </w:r>
      <w:r>
        <w:rPr>
          <w:rFonts w:hint="eastAsia" w:ascii="宋体" w:hAnsi="宋体" w:eastAsia="宋体" w:cs="宋体"/>
          <w:sz w:val="24"/>
          <w:szCs w:val="24"/>
        </w:rPr>
        <w:t>套，其中</w:t>
      </w:r>
      <w:r>
        <w:rPr>
          <w:rFonts w:hint="eastAsia" w:ascii="宋体" w:hAnsi="宋体" w:eastAsia="宋体" w:cs="宋体"/>
          <w:sz w:val="24"/>
          <w:szCs w:val="24"/>
          <w:lang w:val="en-US" w:eastAsia="zh-CN"/>
        </w:rPr>
        <w:t>2</w:t>
      </w:r>
      <w:r>
        <w:rPr>
          <w:rFonts w:hint="eastAsia" w:ascii="宋体" w:hAnsi="宋体" w:eastAsia="宋体" w:cs="宋体"/>
          <w:sz w:val="24"/>
          <w:szCs w:val="24"/>
        </w:rPr>
        <w:t>套为电子版光盘；每份技术文件应装有目录清单。</w:t>
      </w:r>
    </w:p>
    <w:p w14:paraId="698DC29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4168EC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90</w:t>
      </w:r>
      <w:r>
        <w:rPr>
          <w:rFonts w:hint="eastAsia" w:ascii="宋体" w:hAnsi="宋体" w:eastAsia="宋体" w:cs="宋体"/>
          <w:sz w:val="24"/>
          <w:szCs w:val="24"/>
        </w:rPr>
        <w:t>个日历日之内交货至供货地点。</w:t>
      </w:r>
    </w:p>
    <w:p w14:paraId="1BB3B18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lang w:val="en-US" w:eastAsia="zh-CN"/>
        </w:rPr>
        <w:t>2</w:t>
      </w:r>
      <w:r>
        <w:rPr>
          <w:rFonts w:hint="eastAsia" w:ascii="宋体" w:hAnsi="宋体" w:eastAsia="宋体" w:cs="宋体"/>
          <w:sz w:val="24"/>
          <w:szCs w:val="24"/>
        </w:rPr>
        <w:t>个日历日之内安装调试完毕。</w:t>
      </w:r>
    </w:p>
    <w:p w14:paraId="73417DA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lang w:val="en-US" w:eastAsia="zh-CN"/>
        </w:rPr>
        <w:t>80</w:t>
      </w:r>
      <w:r>
        <w:rPr>
          <w:rFonts w:hint="eastAsia" w:ascii="宋体" w:hAnsi="宋体" w:eastAsia="宋体" w:cs="宋体"/>
          <w:sz w:val="24"/>
          <w:szCs w:val="24"/>
        </w:rPr>
        <w:t>个日历日之内完成终验收。</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D3518B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9017A2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8B7C59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D241E2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DA49D8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4F3BE6B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80F97F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19456DC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24</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个月</w:t>
      </w:r>
      <w:r>
        <w:rPr>
          <w:rFonts w:hint="eastAsia" w:ascii="宋体" w:hAnsi="宋体" w:eastAsia="宋体" w:cs="宋体"/>
          <w:sz w:val="24"/>
          <w:szCs w:val="24"/>
        </w:rPr>
        <w:t>。</w:t>
      </w:r>
    </w:p>
    <w:p w14:paraId="1B86969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154C505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BB3BF0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29B42EB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0070B45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7EC243B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5.质量保证期满后，投标方保证向招标方提供及时的、质优的、价格优惠的技术服务和备品备件供应。</w:t>
      </w:r>
    </w:p>
    <w:p w14:paraId="7DADB254">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二、技术及培训服务</w:t>
      </w:r>
    </w:p>
    <w:p w14:paraId="0B9F31E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b/>
          <w:bCs/>
          <w:sz w:val="24"/>
          <w:szCs w:val="24"/>
          <w:highlight w:val="yellow"/>
        </w:rPr>
        <w:t>3个</w:t>
      </w:r>
      <w:r>
        <w:rPr>
          <w:rFonts w:hint="eastAsia" w:ascii="宋体" w:hAnsi="宋体" w:eastAsia="宋体" w:cs="宋体"/>
          <w:sz w:val="24"/>
          <w:szCs w:val="24"/>
        </w:rPr>
        <w:t>日历日。（培训包含联调后整套设备的使用）</w:t>
      </w:r>
    </w:p>
    <w:p w14:paraId="75497E3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1F7B2ED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53C1A0F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4647EA0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FEB173E">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三、安装调试及验收服务</w:t>
      </w:r>
    </w:p>
    <w:p w14:paraId="08E77E8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3EE45E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56FBA91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0F92EE3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C8739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2F064A2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1F56C6A2">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四、售后服务</w:t>
      </w:r>
    </w:p>
    <w:p w14:paraId="5F0EE4E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596F762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2.如发现所提供的货物存在问题，需要投标方解决或配合解决时：在质保期之内，应在接到通知后24小时内派有关人员到达现场；在质保期之外，应在接到通知后72小时内派有关人员到达现场。</w:t>
      </w:r>
    </w:p>
    <w:p w14:paraId="2413F3D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2C7EFBEA">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五、其它服务</w:t>
      </w:r>
    </w:p>
    <w:p w14:paraId="1E93144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0B7EB514">
      <w:pPr>
        <w:spacing w:line="360" w:lineRule="auto"/>
        <w:ind w:firstLine="480" w:firstLineChars="200"/>
        <w:jc w:val="left"/>
        <w:rPr>
          <w:rFonts w:hint="eastAsia" w:ascii="宋体" w:hAnsi="宋体" w:cs="宋体"/>
          <w:color w:val="000000"/>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r>
        <w:rPr>
          <w:rFonts w:hint="eastAsia" w:ascii="宋体" w:hAnsi="宋体" w:cs="宋体"/>
          <w:color w:val="000000"/>
          <w:sz w:val="24"/>
          <w:szCs w:val="24"/>
        </w:rPr>
        <w:t>。</w:t>
      </w:r>
    </w:p>
    <w:p w14:paraId="16F57159">
      <w:pPr>
        <w:pStyle w:val="134"/>
        <w:rPr>
          <w:rFonts w:hint="eastAsia" w:ascii="宋体" w:hAnsi="宋体" w:cs="宋体"/>
          <w:bCs w:val="0"/>
          <w:i/>
        </w:rPr>
      </w:pPr>
      <w:r>
        <w:rPr>
          <w:rFonts w:hint="eastAsia" w:ascii="宋体" w:hAnsi="宋体" w:cs="宋体"/>
        </w:rPr>
        <w:br w:type="page"/>
      </w:r>
      <w:bookmarkStart w:id="35" w:name="_Toc465187646"/>
      <w:bookmarkStart w:id="36" w:name="_Toc25467"/>
      <w:bookmarkStart w:id="37" w:name="_Toc2612"/>
      <w:r>
        <w:rPr>
          <w:rFonts w:hint="eastAsia" w:ascii="宋体" w:hAnsi="宋体" w:eastAsia="宋体"/>
          <w:b/>
          <w:bCs w:val="0"/>
        </w:rPr>
        <w:t>第五章  终验收</w:t>
      </w:r>
      <w:bookmarkEnd w:id="35"/>
      <w:bookmarkEnd w:id="36"/>
      <w:bookmarkEnd w:id="37"/>
    </w:p>
    <w:p w14:paraId="610A15D5">
      <w:pPr>
        <w:pStyle w:val="121"/>
        <w:spacing w:line="36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一、验收依据和验收标准</w:t>
      </w:r>
    </w:p>
    <w:p w14:paraId="5AF4768D">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1.验收标准一般以技术标书和合同规定验收。无论技术标书和合同，是否全部并准确列明验收所涉及的相关标准，均作为验收标准之一。</w:t>
      </w:r>
    </w:p>
    <w:p w14:paraId="6F74E7D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2.如果验收过程中，发现招标文件、投标文件、答疑文件、技术交流文件等与技术标书、合同存在差异，原则上以涉及条款中对招标方最有利条款为验收依据。</w:t>
      </w:r>
    </w:p>
    <w:p w14:paraId="72EE5301">
      <w:pPr>
        <w:pStyle w:val="121"/>
        <w:spacing w:line="36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二、检验</w:t>
      </w:r>
    </w:p>
    <w:p w14:paraId="3BF346F9">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如果采购货物涉及必要的或必需的检验，投标方应当在投标文件中明确可能涉及的检验费用，并将该费用包含在投标总报价之内；不作针对性澄清或说明的，视同包含在投标总价之内。基本约定如下：</w:t>
      </w:r>
    </w:p>
    <w:p w14:paraId="7EF690CD">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1.国产货物的检验一般由买卖双方共同进行或按照合同要求进行。</w:t>
      </w:r>
    </w:p>
    <w:p w14:paraId="541DFA37">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2.进口货物的检验，投标方需要按照下述要求进行：</w:t>
      </w:r>
    </w:p>
    <w:p w14:paraId="1D14DFA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2.1进口货物发货前，应对货物的质量、型号、规格、性能和数量/重量作精密、全面的检验，并出具证明书，证明所供货物符合合同规定；</w:t>
      </w:r>
    </w:p>
    <w:p w14:paraId="44D4008D">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2.2应依据合同规定的要求，提供买卖双方达成一致的货物的验收标准和装箱单，作为招标方检验的依据；</w:t>
      </w:r>
    </w:p>
    <w:p w14:paraId="1425EBA1">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DCD4121">
      <w:pPr>
        <w:pStyle w:val="121"/>
        <w:spacing w:line="360" w:lineRule="auto"/>
        <w:ind w:firstLine="0"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三、验收基本条件</w:t>
      </w:r>
    </w:p>
    <w:p w14:paraId="164846F6">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6DD71924">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买卖双方按照合同约定执行了合同，同时货物完成了试运行并经检验合格，则具备验收条件。</w:t>
      </w:r>
    </w:p>
    <w:p w14:paraId="6FEC68BF">
      <w:pPr>
        <w:adjustRightInd w:val="0"/>
        <w:snapToGrid w:val="0"/>
        <w:spacing w:line="360" w:lineRule="auto"/>
        <w:outlineLvl w:val="3"/>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1.终验收一般条件：</w:t>
      </w:r>
    </w:p>
    <w:p w14:paraId="5B7B4C2A">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1.1投标方已经按照“供货范围”要求提供了预验收资料，并且资料齐全、完整和有效；</w:t>
      </w:r>
    </w:p>
    <w:p w14:paraId="2425CCF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1.2货物应完整且所有的零部件应该安装牢固，外观无损伤，所有的焊缝饱满、无残渣等缺陷；</w:t>
      </w:r>
    </w:p>
    <w:p w14:paraId="5933D95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1.3货物的油漆质量应饱满、有光泽，无掉漆、无色差、无“桔皮”等不良现象（特殊标志除外）；</w:t>
      </w:r>
    </w:p>
    <w:p w14:paraId="3524F93A">
      <w:pPr>
        <w:adjustRightInd w:val="0"/>
        <w:snapToGrid w:val="0"/>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1.4货物标牌完整、清晰、明确；</w:t>
      </w:r>
    </w:p>
    <w:p w14:paraId="667A092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1.5货物的安全要求符合中国最新的相关法律、法规、标准和规范以及合同要求；</w:t>
      </w:r>
    </w:p>
    <w:p w14:paraId="72BCEF68">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1.6货物安装调试完毕，并至少经过了验收要求的负荷试运行；</w:t>
      </w:r>
    </w:p>
    <w:p w14:paraId="5539605E">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1.7货物正常运行时，噪声等环境影响因素满足国家和当地环保主管部门规定，安全措施落实、有效；</w:t>
      </w:r>
    </w:p>
    <w:p w14:paraId="1532CC1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1.8计量仪器、仪表配套合理，采用中国的法定计量单位，计量准确、灵敏可靠。保证设计指标和仪器说明书的参数的实现；</w:t>
      </w:r>
    </w:p>
    <w:p w14:paraId="58CC754E">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1.9试运行期间或之后无维修、调整等行为（特殊情况除外）；</w:t>
      </w:r>
    </w:p>
    <w:p w14:paraId="36BD2134">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1.10货物质量、技术性能等，达到签定的技术标书和合同规定的终验收标准；</w:t>
      </w:r>
    </w:p>
    <w:p w14:paraId="10AFA900">
      <w:pPr>
        <w:adjustRightInd w:val="0"/>
        <w:snapToGrid w:val="0"/>
        <w:spacing w:line="360" w:lineRule="auto"/>
        <w:outlineLvl w:val="3"/>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2.终验收基本要求：</w:t>
      </w:r>
    </w:p>
    <w:p w14:paraId="3DF3281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2.1设备构成、备件齐全；</w:t>
      </w:r>
    </w:p>
    <w:p w14:paraId="3454B718">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2.1设备技术规格满足招标书中的技术要求。</w:t>
      </w:r>
    </w:p>
    <w:p w14:paraId="3100DFEC">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对所有设备进行上电调试和带被试件运行，演示要求的各项设备功能，设备功能、测试和控制参数精度均应符合要求。在试验条件相同的情况下，由招标方确定试验项目、提供被试件，进行3次重复性带被试件试验，以试验结果波动范围不超过3%以确认系统功能完好；然后进行某一种试验工况的实际运行，考核整个系统工作的可靠性，考核期不少于60天。</w:t>
      </w:r>
    </w:p>
    <w:p w14:paraId="099B3029">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2.3对所有设备功能进行演示操作，包括对所有设备和传感器进行校准。</w:t>
      </w:r>
    </w:p>
    <w:p w14:paraId="21935D0D">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2.4出现下列问题之一，视作验收失败：</w:t>
      </w:r>
    </w:p>
    <w:p w14:paraId="2D65927E">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4.4.1设备验收时，其参数无法满足招标书中的技术要求；</w:t>
      </w:r>
    </w:p>
    <w:p w14:paraId="2CB1AC4A">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4.4.2在整个验收过程中发生关键零部件损坏或重大故障；</w:t>
      </w:r>
    </w:p>
    <w:p w14:paraId="372B556C">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4.4.3一般性故障超过   2  次；</w:t>
      </w:r>
    </w:p>
    <w:p w14:paraId="1478CF1A">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4.4.4更换的零部件货值超过总货值的  1  %；</w:t>
      </w:r>
    </w:p>
    <w:p w14:paraId="79ADDB21">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2.5累计负载运行实际性能（或生产率）达到合同规定；</w:t>
      </w:r>
    </w:p>
    <w:p w14:paraId="1DBC742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2.6终验收原则上要求一次完成。若一次验收不成功，最多允许两次；如果出现第三次验收失败，重新作价或退货；</w:t>
      </w:r>
    </w:p>
    <w:p w14:paraId="737933C7">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2.7终验收通过后买卖双方共同签署终验收报告，并移交、核对全部供货范围内物品。</w:t>
      </w:r>
    </w:p>
    <w:p w14:paraId="586F75C4">
      <w:pPr>
        <w:adjustRightInd w:val="0"/>
        <w:snapToGrid w:val="0"/>
        <w:spacing w:line="360" w:lineRule="auto"/>
        <w:rPr>
          <w:rFonts w:ascii="宋体" w:hAnsi="宋体" w:eastAsia="宋体" w:cs="宋体"/>
          <w:sz w:val="24"/>
          <w:szCs w:val="24"/>
        </w:rPr>
      </w:pPr>
    </w:p>
    <w:p w14:paraId="1B18C6AB">
      <w:pPr>
        <w:pStyle w:val="2"/>
        <w:spacing w:line="360" w:lineRule="auto"/>
        <w:rPr>
          <w:rFonts w:hAnsi="宋体" w:eastAsia="宋体" w:cs="宋体"/>
          <w:sz w:val="24"/>
          <w:szCs w:val="24"/>
        </w:rPr>
      </w:pPr>
    </w:p>
    <w:p w14:paraId="125B9060">
      <w:pPr>
        <w:rPr>
          <w:rFonts w:hint="eastAsia" w:ascii="宋体" w:hAnsi="宋体" w:eastAsia="宋体" w:cs="宋体"/>
          <w:b/>
          <w:bCs w:val="0"/>
          <w:iCs/>
          <w:color w:val="auto"/>
          <w:sz w:val="24"/>
        </w:rPr>
      </w:pPr>
      <w:bookmarkStart w:id="38" w:name="_Toc30824"/>
      <w:bookmarkStart w:id="39" w:name="_Toc131008493"/>
      <w:bookmarkStart w:id="40" w:name="_Toc465187647"/>
      <w:r>
        <w:rPr>
          <w:rFonts w:hint="eastAsia" w:ascii="宋体" w:hAnsi="宋体" w:eastAsia="宋体" w:cs="宋体"/>
          <w:b/>
          <w:bCs w:val="0"/>
          <w:iCs/>
          <w:color w:val="auto"/>
          <w:sz w:val="24"/>
        </w:rPr>
        <w:br w:type="page"/>
      </w:r>
    </w:p>
    <w:p w14:paraId="5DA14695">
      <w:pPr>
        <w:pStyle w:val="134"/>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8"/>
      <w:bookmarkEnd w:id="39"/>
      <w:bookmarkEnd w:id="40"/>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C19D5AD">
      <w:pPr>
        <w:pStyle w:val="3"/>
        <w:spacing w:before="120" w:after="120" w:line="360" w:lineRule="auto"/>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1" w:name="_Toc465187648"/>
    </w:p>
    <w:p w14:paraId="42E8FCB3">
      <w:pPr>
        <w:pStyle w:val="134"/>
        <w:spacing w:line="360" w:lineRule="auto"/>
        <w:outlineLvl w:val="1"/>
        <w:rPr>
          <w:rFonts w:ascii="宋体" w:hAnsi="宋体" w:eastAsia="宋体" w:cs="宋体"/>
          <w:b/>
          <w:bCs w:val="0"/>
          <w:iCs/>
          <w:color w:val="auto"/>
          <w:sz w:val="24"/>
        </w:rPr>
      </w:pPr>
      <w:bookmarkStart w:id="42" w:name="_Toc131008494"/>
      <w:bookmarkStart w:id="43" w:name="_Toc19570"/>
      <w:r>
        <w:rPr>
          <w:rFonts w:hint="eastAsia" w:ascii="宋体" w:hAnsi="宋体" w:eastAsia="宋体" w:cs="宋体"/>
          <w:b/>
          <w:bCs w:val="0"/>
          <w:iCs/>
          <w:color w:val="auto"/>
          <w:sz w:val="24"/>
        </w:rPr>
        <w:t>第七章  其它要求及说明</w:t>
      </w:r>
      <w:bookmarkEnd w:id="41"/>
      <w:bookmarkEnd w:id="42"/>
      <w:bookmarkEnd w:id="43"/>
    </w:p>
    <w:p w14:paraId="462D70E2">
      <w:pPr>
        <w:pStyle w:val="121"/>
        <w:spacing w:line="360" w:lineRule="auto"/>
        <w:rPr>
          <w:rFonts w:ascii="宋体" w:hAnsi="宋体" w:cs="宋体"/>
          <w:color w:val="auto"/>
        </w:rPr>
      </w:pPr>
      <w:r>
        <w:rPr>
          <w:rFonts w:hint="eastAsia" w:ascii="宋体" w:hAnsi="宋体" w:cs="宋体"/>
          <w:color w:val="auto"/>
        </w:rPr>
        <w:t>一、要求</w:t>
      </w:r>
    </w:p>
    <w:p w14:paraId="4BC187B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5A80A7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1497D4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1FBB8D1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91F9A5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4C71F6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4AFCB5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BD70A1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63AB941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85CE78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F2A461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03CE9381">
      <w:pPr>
        <w:adjustRightInd w:val="0"/>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26FD7E7A">
      <w:pPr>
        <w:pStyle w:val="142"/>
        <w:spacing w:line="360" w:lineRule="auto"/>
        <w:outlineLvl w:val="2"/>
        <w:rPr>
          <w:rFonts w:hint="eastAsia" w:cs="宋体"/>
          <w:sz w:val="24"/>
          <w:szCs w:val="24"/>
        </w:rPr>
      </w:pPr>
      <w:bookmarkStart w:id="44" w:name="_Toc27875"/>
      <w:bookmarkStart w:id="45" w:name="_Toc1360"/>
      <w:bookmarkStart w:id="46" w:name="_Toc118460222"/>
      <w:bookmarkStart w:id="47" w:name="_Toc118452185"/>
      <w:bookmarkStart w:id="48" w:name="_Toc23435"/>
      <w:r>
        <w:rPr>
          <w:rFonts w:hint="eastAsia" w:cs="宋体"/>
          <w:color w:val="000000"/>
        </w:rPr>
        <w:t>二、说明</w:t>
      </w:r>
      <w:bookmarkEnd w:id="44"/>
      <w:bookmarkEnd w:id="45"/>
      <w:bookmarkEnd w:id="46"/>
      <w:bookmarkEnd w:id="47"/>
      <w:bookmarkEnd w:id="48"/>
    </w:p>
    <w:p w14:paraId="65E9D42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567CC11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B08A9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665226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66E636FA">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5F4D1A6E">
      <w:pPr>
        <w:pStyle w:val="2"/>
      </w:pPr>
    </w:p>
    <w:p w14:paraId="5343D6BE">
      <w:pPr>
        <w:spacing w:line="360" w:lineRule="auto"/>
        <w:jc w:val="center"/>
        <w:outlineLvl w:val="0"/>
        <w:rPr>
          <w:rFonts w:ascii="宋体" w:hAnsi="Calibri" w:eastAsia="宋体" w:cs="Times New Roman"/>
          <w:b/>
          <w:sz w:val="36"/>
          <w:szCs w:val="36"/>
        </w:rPr>
      </w:pPr>
      <w:bookmarkStart w:id="4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0FE3DBC2">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0" w:name="_Toc3778"/>
      <w:bookmarkStart w:id="51" w:name="_Toc25120"/>
      <w:bookmarkStart w:id="52" w:name="_Toc24623"/>
      <w:bookmarkStart w:id="53" w:name="_Toc5379"/>
      <w:bookmarkStart w:id="54" w:name="_Toc16330037"/>
      <w:bookmarkStart w:id="5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4"/>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4"/>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0"/>
      <w:bookmarkEnd w:id="51"/>
      <w:bookmarkEnd w:id="52"/>
      <w:bookmarkEnd w:id="53"/>
      <w:bookmarkEnd w:id="54"/>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6" w:name="_Toc14341849"/>
    </w:p>
    <w:p w14:paraId="3071677A">
      <w:pPr>
        <w:ind w:right="480"/>
        <w:jc w:val="center"/>
        <w:rPr>
          <w:sz w:val="24"/>
          <w:szCs w:val="24"/>
        </w:rPr>
      </w:pPr>
      <w:r>
        <w:rPr>
          <w:rFonts w:hint="eastAsia" w:ascii="楷体_GB2312" w:hAnsi="宋体" w:eastAsia="楷体_GB2312"/>
          <w:sz w:val="24"/>
        </w:rPr>
        <w:t xml:space="preserve">                                    </w:t>
      </w:r>
    </w:p>
    <w:bookmarkEnd w:id="56"/>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6"/>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6"/>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6"/>
        <w:ind w:left="0" w:firstLine="0"/>
        <w:rPr>
          <w:rFonts w:ascii="楷体" w:hAnsi="楷体" w:eastAsia="楷体" w:cs="楷体"/>
          <w:b/>
          <w:sz w:val="24"/>
          <w:szCs w:val="28"/>
        </w:rPr>
      </w:pPr>
    </w:p>
    <w:p w14:paraId="4D1B50A1">
      <w:pPr>
        <w:pStyle w:val="16"/>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6"/>
        <w:ind w:left="0" w:firstLine="0"/>
        <w:rPr>
          <w:rFonts w:ascii="楷体" w:hAnsi="楷体" w:eastAsia="楷体" w:cs="楷体"/>
          <w:b/>
          <w:sz w:val="24"/>
          <w:szCs w:val="28"/>
        </w:rPr>
      </w:pPr>
    </w:p>
    <w:p w14:paraId="68A6B77B">
      <w:pPr>
        <w:pStyle w:val="16"/>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5"/>
    </w:p>
    <w:p w14:paraId="6F94E0A8">
      <w:pPr>
        <w:keepNext/>
        <w:keepLines/>
        <w:rPr>
          <w:rFonts w:ascii="Times New Roman" w:hAnsi="Times New Roman" w:eastAsia="宋体" w:cs="Times New Roman"/>
          <w:b/>
          <w:bCs/>
          <w:color w:val="000000"/>
          <w:sz w:val="24"/>
          <w:szCs w:val="24"/>
        </w:rPr>
      </w:pPr>
    </w:p>
    <w:p w14:paraId="12A00432">
      <w:pPr>
        <w:pStyle w:val="2"/>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7D276267">
      <w:pPr>
        <w:pStyle w:val="2"/>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7" w:name="_Toc639004"/>
      <w:bookmarkStart w:id="58" w:name="_Toc212369550"/>
      <w:bookmarkStart w:id="59" w:name="_Toc353881012"/>
      <w:bookmarkStart w:id="6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7"/>
      <w:bookmarkEnd w:id="58"/>
      <w:bookmarkEnd w:id="59"/>
      <w:bookmarkEnd w:id="60"/>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
        <w:rPr>
          <w:rFonts w:ascii="黑体" w:hAnsi="Calibri" w:eastAsia="黑体" w:cs="Times New Roman"/>
          <w:color w:val="000000"/>
          <w:sz w:val="24"/>
          <w:szCs w:val="24"/>
        </w:rPr>
      </w:pPr>
    </w:p>
    <w:p w14:paraId="46D55BB2">
      <w:pPr>
        <w:pStyle w:val="2"/>
        <w:rPr>
          <w:rFonts w:ascii="黑体" w:hAnsi="Calibri" w:eastAsia="黑体" w:cs="Times New Roman"/>
          <w:color w:val="000000"/>
          <w:sz w:val="24"/>
          <w:szCs w:val="24"/>
        </w:rPr>
      </w:pPr>
    </w:p>
    <w:p w14:paraId="35617F5B">
      <w:pPr>
        <w:pStyle w:val="2"/>
        <w:rPr>
          <w:rFonts w:ascii="黑体" w:hAnsi="Calibri" w:eastAsia="黑体" w:cs="Times New Roman"/>
          <w:color w:val="000000"/>
          <w:sz w:val="24"/>
          <w:szCs w:val="24"/>
        </w:rPr>
      </w:pPr>
    </w:p>
    <w:p w14:paraId="76349230">
      <w:pPr>
        <w:pStyle w:val="2"/>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CGZX2024080050</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4A87A45A">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3E07644B">
            <w:pPr>
              <w:pStyle w:val="133"/>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pStyle w:val="133"/>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pStyle w:val="133"/>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pStyle w:val="133"/>
              <w:spacing w:before="111"/>
              <w:ind w:left="509"/>
              <w:rPr>
                <w:highlight w:val="yellow"/>
              </w:rPr>
            </w:pPr>
            <w:r>
              <w:t xml:space="preserve">企业法人代表  </w:t>
            </w:r>
          </w:p>
        </w:tc>
        <w:tc>
          <w:tcPr>
            <w:tcW w:w="4680" w:type="dxa"/>
            <w:gridSpan w:val="4"/>
          </w:tcPr>
          <w:p w14:paraId="73C13E3B">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pStyle w:val="133"/>
              <w:spacing w:before="114"/>
              <w:ind w:left="720"/>
            </w:pPr>
            <w:r>
              <w:t xml:space="preserve">品牌区分 </w:t>
            </w:r>
          </w:p>
        </w:tc>
        <w:tc>
          <w:tcPr>
            <w:tcW w:w="7500" w:type="dxa"/>
            <w:gridSpan w:val="6"/>
          </w:tcPr>
          <w:p w14:paraId="57F1C58D">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pStyle w:val="133"/>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pStyle w:val="133"/>
              <w:spacing w:before="15"/>
              <w:ind w:left="279"/>
            </w:pPr>
            <w:r>
              <w:rPr>
                <w:spacing w:val="-2"/>
              </w:rPr>
              <w:t>质量</w:t>
            </w:r>
            <w:r>
              <w:t xml:space="preserve"> </w:t>
            </w:r>
          </w:p>
          <w:p w14:paraId="4A17E5B1">
            <w:pPr>
              <w:pStyle w:val="133"/>
              <w:spacing w:before="30" w:line="277" w:lineRule="exact"/>
              <w:ind w:left="279"/>
            </w:pPr>
            <w:r>
              <w:rPr>
                <w:rFonts w:hint="eastAsia"/>
              </w:rPr>
              <w:t>体系</w:t>
            </w:r>
          </w:p>
        </w:tc>
        <w:tc>
          <w:tcPr>
            <w:tcW w:w="2820" w:type="dxa"/>
            <w:gridSpan w:val="2"/>
          </w:tcPr>
          <w:p w14:paraId="0E77FD66">
            <w:pPr>
              <w:pStyle w:val="133"/>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pStyle w:val="133"/>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pStyle w:val="2"/>
        <w:rPr>
          <w:rFonts w:ascii="Times New Roman" w:hAnsi="Times New Roman" w:eastAsia="宋体" w:cs="Times New Roman"/>
          <w:b/>
          <w:bCs/>
          <w:color w:val="000000"/>
          <w:sz w:val="24"/>
          <w:szCs w:val="24"/>
        </w:rPr>
      </w:pPr>
    </w:p>
    <w:p w14:paraId="1C425821">
      <w:pPr>
        <w:pStyle w:val="2"/>
        <w:rPr>
          <w:rFonts w:ascii="Times New Roman" w:hAnsi="Times New Roman" w:eastAsia="宋体" w:cs="Times New Roman"/>
          <w:b/>
          <w:bCs/>
          <w:color w:val="000000"/>
          <w:sz w:val="24"/>
          <w:szCs w:val="24"/>
        </w:rPr>
      </w:pPr>
    </w:p>
    <w:p w14:paraId="677960B0">
      <w:pPr>
        <w:pStyle w:val="2"/>
        <w:rPr>
          <w:rFonts w:ascii="Times New Roman" w:hAnsi="Times New Roman" w:eastAsia="宋体" w:cs="Times New Roman"/>
          <w:b/>
          <w:bCs/>
          <w:color w:val="000000"/>
          <w:sz w:val="24"/>
          <w:szCs w:val="24"/>
        </w:rPr>
      </w:pPr>
    </w:p>
    <w:p w14:paraId="0C56120E">
      <w:pPr>
        <w:pStyle w:val="2"/>
        <w:rPr>
          <w:rFonts w:ascii="Times New Roman" w:hAnsi="Times New Roman" w:eastAsia="宋体" w:cs="Times New Roman"/>
          <w:b/>
          <w:bCs/>
          <w:color w:val="000000"/>
          <w:sz w:val="24"/>
          <w:szCs w:val="24"/>
        </w:rPr>
      </w:pPr>
    </w:p>
    <w:p w14:paraId="058036E8">
      <w:pPr>
        <w:pStyle w:val="2"/>
        <w:rPr>
          <w:rFonts w:ascii="Times New Roman" w:hAnsi="Times New Roman" w:eastAsia="宋体" w:cs="Times New Roman"/>
          <w:b/>
          <w:bCs/>
          <w:color w:val="000000"/>
          <w:sz w:val="24"/>
          <w:szCs w:val="24"/>
        </w:rPr>
      </w:pPr>
    </w:p>
    <w:p w14:paraId="65D82DB1">
      <w:pPr>
        <w:pStyle w:val="2"/>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pStyle w:val="2"/>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4CE1E27">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2D660AB2">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DBDCCE">
            <w:pPr>
              <w:jc w:val="center"/>
              <w:textAlignment w:val="center"/>
              <w:rPr>
                <w:rFonts w:hint="default" w:ascii="宋体" w:hAnsi="宋体" w:eastAsia="宋体" w:cs="宋体"/>
                <w:b/>
                <w:bCs/>
                <w:sz w:val="24"/>
                <w:lang w:val="en-US" w:eastAsia="zh-CN"/>
              </w:rPr>
            </w:pPr>
            <w:r>
              <w:rPr>
                <w:rFonts w:hint="eastAsia" w:ascii="宋体" w:hAnsi="宋体" w:eastAsia="宋体" w:cs="宋体"/>
                <w:sz w:val="24"/>
                <w:szCs w:val="24"/>
                <w:lang w:val="en-US" w:eastAsia="zh-CN"/>
              </w:rPr>
              <w:t>1</w:t>
            </w:r>
          </w:p>
        </w:tc>
        <w:tc>
          <w:tcPr>
            <w:tcW w:w="2471" w:type="dxa"/>
            <w:vAlign w:val="center"/>
          </w:tcPr>
          <w:p w14:paraId="2CD7580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数据采集主机</w:t>
            </w:r>
          </w:p>
        </w:tc>
        <w:tc>
          <w:tcPr>
            <w:tcW w:w="2472"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EC3D748">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61D8B61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电力输入模块</w:t>
            </w:r>
          </w:p>
        </w:tc>
        <w:tc>
          <w:tcPr>
            <w:tcW w:w="2472"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A61AF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2EF3833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模拟量采集模块</w:t>
            </w:r>
          </w:p>
        </w:tc>
        <w:tc>
          <w:tcPr>
            <w:tcW w:w="2472"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B9A7BE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1EEEBAD9">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CAN</w:t>
            </w:r>
            <w:r>
              <w:rPr>
                <w:rFonts w:hint="eastAsia" w:ascii="宋体" w:hAnsi="宋体" w:eastAsia="宋体" w:cs="宋体"/>
                <w:sz w:val="24"/>
                <w:szCs w:val="24"/>
                <w:lang w:val="en-US" w:eastAsia="zh-CN"/>
              </w:rPr>
              <w:t>采集模块</w:t>
            </w:r>
          </w:p>
        </w:tc>
        <w:tc>
          <w:tcPr>
            <w:tcW w:w="2472"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8E31B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57070B0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数据采集软件</w:t>
            </w:r>
          </w:p>
        </w:tc>
        <w:tc>
          <w:tcPr>
            <w:tcW w:w="2472"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B94A5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1BE8582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电流传感器</w:t>
            </w:r>
          </w:p>
        </w:tc>
        <w:tc>
          <w:tcPr>
            <w:tcW w:w="2472"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2FF98F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2E87BFD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2472"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C09808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vAlign w:val="center"/>
          </w:tcPr>
          <w:p w14:paraId="30B89C0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备品备件</w:t>
            </w:r>
          </w:p>
        </w:tc>
        <w:tc>
          <w:tcPr>
            <w:tcW w:w="2472"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7E60F4B7">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B21B96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新能源整车能量流测试系统项目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43903B8">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新能源整车能量流测试系统项目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2EF80FF8">
      <w:pPr>
        <w:pStyle w:val="2"/>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1FC87350">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数据采集主机</w:t>
            </w:r>
          </w:p>
        </w:tc>
        <w:tc>
          <w:tcPr>
            <w:tcW w:w="2239"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00017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56DB5AA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电力输入模块</w:t>
            </w:r>
          </w:p>
        </w:tc>
        <w:tc>
          <w:tcPr>
            <w:tcW w:w="2239"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507B7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539F0EE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模拟量采集模块</w:t>
            </w:r>
          </w:p>
        </w:tc>
        <w:tc>
          <w:tcPr>
            <w:tcW w:w="2239"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17F92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198AD145">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CAN</w:t>
            </w:r>
            <w:r>
              <w:rPr>
                <w:rFonts w:hint="eastAsia" w:ascii="宋体" w:hAnsi="宋体" w:eastAsia="宋体" w:cs="宋体"/>
                <w:sz w:val="24"/>
                <w:szCs w:val="24"/>
                <w:lang w:val="en-US" w:eastAsia="zh-CN"/>
              </w:rPr>
              <w:t>采集模块</w:t>
            </w:r>
          </w:p>
        </w:tc>
        <w:tc>
          <w:tcPr>
            <w:tcW w:w="2239"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5697355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数据采集软件</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C2CA8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2DA7375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电流传感器</w:t>
            </w:r>
          </w:p>
        </w:tc>
        <w:tc>
          <w:tcPr>
            <w:tcW w:w="2239"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2B02C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AEF15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0247D29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电压传感器</w:t>
            </w:r>
          </w:p>
        </w:tc>
        <w:tc>
          <w:tcPr>
            <w:tcW w:w="2239" w:type="dxa"/>
          </w:tcPr>
          <w:p w14:paraId="7674E2AF">
            <w:pPr>
              <w:rPr>
                <w:rFonts w:hint="eastAsia" w:ascii="宋体" w:hAnsi="宋体" w:eastAsia="宋体" w:cs="宋体"/>
                <w:b/>
                <w:bCs/>
                <w:sz w:val="24"/>
                <w:szCs w:val="24"/>
              </w:rPr>
            </w:pPr>
          </w:p>
        </w:tc>
        <w:tc>
          <w:tcPr>
            <w:tcW w:w="1120" w:type="dxa"/>
            <w:vAlign w:val="center"/>
          </w:tcPr>
          <w:p w14:paraId="6D9275B7">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1120" w:type="dxa"/>
            <w:vAlign w:val="center"/>
          </w:tcPr>
          <w:p w14:paraId="6EB9B70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682" w:type="dxa"/>
          </w:tcPr>
          <w:p w14:paraId="7E6776D8">
            <w:pPr>
              <w:rPr>
                <w:rFonts w:ascii="Arial"/>
              </w:rPr>
            </w:pPr>
          </w:p>
        </w:tc>
        <w:tc>
          <w:tcPr>
            <w:tcW w:w="2519" w:type="dxa"/>
            <w:tcBorders>
              <w:right w:val="single" w:color="000000" w:sz="4" w:space="0"/>
            </w:tcBorders>
          </w:tcPr>
          <w:p w14:paraId="7C0AC8BB">
            <w:pPr>
              <w:rPr>
                <w:rFonts w:ascii="Arial"/>
              </w:rPr>
            </w:pPr>
          </w:p>
        </w:tc>
        <w:tc>
          <w:tcPr>
            <w:tcW w:w="2435" w:type="dxa"/>
            <w:tcBorders>
              <w:left w:val="single" w:color="000000" w:sz="4" w:space="0"/>
            </w:tcBorders>
          </w:tcPr>
          <w:p w14:paraId="560F1AC9">
            <w:pPr>
              <w:rPr>
                <w:rFonts w:ascii="Arial"/>
              </w:rPr>
            </w:pPr>
          </w:p>
        </w:tc>
        <w:tc>
          <w:tcPr>
            <w:tcW w:w="1069" w:type="dxa"/>
            <w:vAlign w:val="center"/>
          </w:tcPr>
          <w:p w14:paraId="18E8A407">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37FAF32F">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93A3D86">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885F0AD">
      <w:pPr>
        <w:rPr>
          <w:sz w:val="24"/>
          <w:szCs w:val="24"/>
        </w:rPr>
        <w:sectPr>
          <w:footerReference r:id="rId31" w:type="default"/>
          <w:pgSz w:w="16841" w:h="11907"/>
          <w:pgMar w:top="400" w:right="1699" w:bottom="1184" w:left="1481" w:header="0" w:footer="1022" w:gutter="0"/>
          <w:cols w:space="720" w:num="1"/>
        </w:sectPr>
      </w:pPr>
    </w:p>
    <w:p w14:paraId="0FA67C9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27A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237D6E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736BDE81">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现场安装调试、验收、检验</w:t>
            </w:r>
          </w:p>
        </w:tc>
        <w:tc>
          <w:tcPr>
            <w:tcW w:w="1126" w:type="dxa"/>
            <w:vAlign w:val="top"/>
          </w:tcPr>
          <w:p w14:paraId="19BEF8A4">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4D46B70E">
            <w:pPr>
              <w:spacing w:before="266" w:line="221" w:lineRule="auto"/>
              <w:jc w:val="center"/>
              <w:rPr>
                <w:rFonts w:ascii="宋体" w:hAnsi="宋体" w:eastAsia="宋体" w:cs="宋体"/>
                <w:spacing w:val="-2"/>
                <w:szCs w:val="21"/>
              </w:rPr>
            </w:pPr>
          </w:p>
        </w:tc>
        <w:tc>
          <w:tcPr>
            <w:tcW w:w="1138" w:type="dxa"/>
            <w:vAlign w:val="top"/>
          </w:tcPr>
          <w:p w14:paraId="1FCB875B">
            <w:pPr>
              <w:spacing w:before="266" w:line="221" w:lineRule="auto"/>
              <w:jc w:val="center"/>
              <w:rPr>
                <w:rFonts w:ascii="宋体" w:hAnsi="宋体" w:eastAsia="宋体" w:cs="宋体"/>
                <w:spacing w:val="-2"/>
                <w:szCs w:val="21"/>
              </w:rPr>
            </w:pPr>
          </w:p>
        </w:tc>
        <w:tc>
          <w:tcPr>
            <w:tcW w:w="2449" w:type="dxa"/>
            <w:vAlign w:val="top"/>
          </w:tcPr>
          <w:p w14:paraId="1BF9F86C">
            <w:pPr>
              <w:rPr>
                <w:rFonts w:ascii="Arial"/>
              </w:rPr>
            </w:pPr>
          </w:p>
        </w:tc>
        <w:tc>
          <w:tcPr>
            <w:tcW w:w="3328" w:type="dxa"/>
            <w:vAlign w:val="top"/>
          </w:tcPr>
          <w:p w14:paraId="7AC5FD1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F92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3789268">
            <w:pPr>
              <w:spacing w:before="301" w:line="185"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625" w:type="dxa"/>
            <w:vAlign w:val="top"/>
          </w:tcPr>
          <w:p w14:paraId="12CE647E">
            <w:pPr>
              <w:spacing w:before="266" w:line="221" w:lineRule="auto"/>
              <w:jc w:val="center"/>
              <w:rPr>
                <w:rFonts w:hint="default" w:ascii="宋体" w:hAnsi="宋体" w:eastAsia="宋体" w:cs="宋体"/>
                <w:spacing w:val="-2"/>
                <w:szCs w:val="21"/>
                <w:highlight w:val="yellow"/>
                <w:lang w:val="en-US" w:eastAsia="zh-CN"/>
              </w:rPr>
            </w:pPr>
            <w:r>
              <w:rPr>
                <w:rFonts w:hint="eastAsia" w:ascii="宋体" w:hAnsi="宋体" w:eastAsia="宋体" w:cs="宋体"/>
                <w:spacing w:val="-2"/>
                <w:szCs w:val="21"/>
                <w:highlight w:val="yellow"/>
                <w:lang w:val="en-US" w:eastAsia="zh-CN"/>
              </w:rPr>
              <w:t>设计、培训、维保</w:t>
            </w:r>
          </w:p>
        </w:tc>
        <w:tc>
          <w:tcPr>
            <w:tcW w:w="1126" w:type="dxa"/>
            <w:vAlign w:val="top"/>
          </w:tcPr>
          <w:p w14:paraId="79178098">
            <w:pPr>
              <w:spacing w:before="266" w:line="221" w:lineRule="auto"/>
              <w:jc w:val="center"/>
              <w:rPr>
                <w:rFonts w:hint="eastAsia" w:ascii="宋体" w:hAnsi="宋体" w:eastAsia="宋体" w:cs="宋体"/>
                <w:spacing w:val="-1"/>
                <w:szCs w:val="21"/>
                <w:lang w:val="en-US" w:eastAsia="zh-CN"/>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78B4C87">
            <w:pPr>
              <w:spacing w:before="266" w:line="221" w:lineRule="auto"/>
              <w:jc w:val="center"/>
              <w:rPr>
                <w:rFonts w:ascii="宋体" w:hAnsi="宋体" w:eastAsia="宋体" w:cs="宋体"/>
                <w:spacing w:val="-2"/>
                <w:szCs w:val="21"/>
              </w:rPr>
            </w:pPr>
          </w:p>
        </w:tc>
        <w:tc>
          <w:tcPr>
            <w:tcW w:w="1138" w:type="dxa"/>
            <w:vAlign w:val="top"/>
          </w:tcPr>
          <w:p w14:paraId="731115E7">
            <w:pPr>
              <w:spacing w:before="266" w:line="221" w:lineRule="auto"/>
              <w:jc w:val="center"/>
              <w:rPr>
                <w:rFonts w:ascii="宋体" w:hAnsi="宋体" w:eastAsia="宋体" w:cs="宋体"/>
                <w:spacing w:val="-2"/>
                <w:szCs w:val="21"/>
              </w:rPr>
            </w:pPr>
          </w:p>
        </w:tc>
        <w:tc>
          <w:tcPr>
            <w:tcW w:w="2449" w:type="dxa"/>
            <w:vAlign w:val="top"/>
          </w:tcPr>
          <w:p w14:paraId="08B77EE3">
            <w:pPr>
              <w:rPr>
                <w:rFonts w:ascii="Arial"/>
              </w:rPr>
            </w:pPr>
          </w:p>
        </w:tc>
        <w:tc>
          <w:tcPr>
            <w:tcW w:w="3328" w:type="dxa"/>
            <w:vAlign w:val="top"/>
          </w:tcPr>
          <w:p w14:paraId="2199FA38">
            <w:pPr>
              <w:spacing w:before="266" w:line="221" w:lineRule="auto"/>
              <w:jc w:val="center"/>
              <w:rPr>
                <w:rFonts w:ascii="宋体" w:hAnsi="宋体" w:eastAsia="宋体" w:cs="宋体"/>
                <w:spacing w:val="-1"/>
                <w:szCs w:val="21"/>
              </w:rPr>
            </w:pPr>
          </w:p>
        </w:tc>
      </w:tr>
      <w:tr w14:paraId="66D9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F87EF10">
            <w:pPr>
              <w:spacing w:before="301" w:line="185"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top"/>
          </w:tcPr>
          <w:p w14:paraId="0A7EDB5D">
            <w:pPr>
              <w:spacing w:before="266" w:line="221" w:lineRule="auto"/>
              <w:jc w:val="center"/>
              <w:rPr>
                <w:rFonts w:hint="default" w:ascii="宋体" w:hAnsi="宋体" w:eastAsia="宋体" w:cs="宋体"/>
                <w:szCs w:val="21"/>
                <w:highlight w:val="yellow"/>
                <w:lang w:val="en-US"/>
              </w:rPr>
            </w:pPr>
            <w:r>
              <w:rPr>
                <w:rFonts w:hint="eastAsia" w:ascii="宋体" w:hAnsi="宋体" w:eastAsia="宋体" w:cs="宋体"/>
                <w:spacing w:val="-2"/>
                <w:szCs w:val="21"/>
                <w:highlight w:val="yellow"/>
                <w:lang w:val="en-US" w:eastAsia="zh-CN"/>
              </w:rPr>
              <w:t>技术培训材料</w:t>
            </w:r>
          </w:p>
        </w:tc>
        <w:tc>
          <w:tcPr>
            <w:tcW w:w="1126" w:type="dxa"/>
            <w:vAlign w:val="top"/>
          </w:tcPr>
          <w:p w14:paraId="3D6263C5">
            <w:pPr>
              <w:spacing w:before="266" w:line="221" w:lineRule="auto"/>
              <w:jc w:val="center"/>
              <w:rPr>
                <w:rFonts w:ascii="宋体" w:hAnsi="宋体" w:eastAsia="宋体" w:cs="宋体"/>
                <w:spacing w:val="-2"/>
                <w:szCs w:val="21"/>
              </w:rPr>
            </w:pPr>
            <w:r>
              <w:rPr>
                <w:rFonts w:hint="eastAsia" w:ascii="宋体" w:hAnsi="宋体" w:eastAsia="宋体" w:cs="宋体"/>
                <w:spacing w:val="-1"/>
                <w:szCs w:val="21"/>
                <w:lang w:val="en-US" w:eastAsia="zh-CN"/>
              </w:rPr>
              <w:t>套</w:t>
            </w:r>
          </w:p>
        </w:tc>
        <w:tc>
          <w:tcPr>
            <w:tcW w:w="1138" w:type="dxa"/>
            <w:vAlign w:val="top"/>
          </w:tcPr>
          <w:p w14:paraId="68AB43B4">
            <w:pPr>
              <w:spacing w:before="266" w:line="221" w:lineRule="auto"/>
              <w:jc w:val="center"/>
              <w:rPr>
                <w:rFonts w:ascii="宋体" w:hAnsi="宋体" w:eastAsia="宋体" w:cs="宋体"/>
                <w:spacing w:val="-2"/>
                <w:szCs w:val="21"/>
              </w:rPr>
            </w:pPr>
          </w:p>
        </w:tc>
        <w:tc>
          <w:tcPr>
            <w:tcW w:w="1138" w:type="dxa"/>
            <w:vAlign w:val="top"/>
          </w:tcPr>
          <w:p w14:paraId="1104D9C2">
            <w:pPr>
              <w:spacing w:before="266" w:line="221" w:lineRule="auto"/>
              <w:jc w:val="center"/>
              <w:rPr>
                <w:rFonts w:ascii="宋体" w:hAnsi="宋体" w:eastAsia="宋体" w:cs="宋体"/>
                <w:spacing w:val="-2"/>
                <w:szCs w:val="21"/>
              </w:rPr>
            </w:pPr>
          </w:p>
        </w:tc>
        <w:tc>
          <w:tcPr>
            <w:tcW w:w="2449" w:type="dxa"/>
            <w:vAlign w:val="top"/>
          </w:tcPr>
          <w:p w14:paraId="32A45027">
            <w:pPr>
              <w:rPr>
                <w:rFonts w:ascii="Arial"/>
              </w:rPr>
            </w:pPr>
          </w:p>
        </w:tc>
        <w:tc>
          <w:tcPr>
            <w:tcW w:w="3328" w:type="dxa"/>
            <w:vAlign w:val="top"/>
          </w:tcPr>
          <w:p w14:paraId="0934BE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D0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6145A74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3625" w:type="dxa"/>
            <w:vAlign w:val="top"/>
          </w:tcPr>
          <w:p w14:paraId="283CF0DB">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0039F82C">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5F6777A8">
            <w:pPr>
              <w:spacing w:before="266" w:line="221" w:lineRule="auto"/>
              <w:jc w:val="center"/>
              <w:rPr>
                <w:rFonts w:ascii="宋体" w:hAnsi="宋体" w:eastAsia="宋体" w:cs="宋体"/>
                <w:spacing w:val="-2"/>
                <w:szCs w:val="21"/>
              </w:rPr>
            </w:pPr>
          </w:p>
        </w:tc>
        <w:tc>
          <w:tcPr>
            <w:tcW w:w="1138" w:type="dxa"/>
            <w:vAlign w:val="top"/>
          </w:tcPr>
          <w:p w14:paraId="34690DC9">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3105D9DE">
            <w:pPr>
              <w:rPr>
                <w:rFonts w:ascii="Arial"/>
              </w:rPr>
            </w:pPr>
          </w:p>
        </w:tc>
        <w:tc>
          <w:tcPr>
            <w:tcW w:w="3328" w:type="dxa"/>
            <w:vAlign w:val="top"/>
          </w:tcPr>
          <w:p w14:paraId="4E9ADD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98C87BC">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27169C20">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6"/>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
      </w:pPr>
    </w:p>
    <w:p w14:paraId="6C94425C">
      <w:pPr>
        <w:pStyle w:val="2"/>
      </w:pPr>
    </w:p>
    <w:p w14:paraId="10B9D115">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新能源整车能量流测试系统项目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5F07203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新能源整车能量流测试系统项目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
        <w:rPr>
          <w:rFonts w:hAnsi="宋体" w:eastAsia="宋体" w:cs="宋体"/>
          <w:sz w:val="24"/>
          <w:szCs w:val="24"/>
        </w:rPr>
      </w:pPr>
    </w:p>
    <w:p w14:paraId="215A8FC8">
      <w:pPr>
        <w:pStyle w:val="2"/>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649451">
      <w:pPr>
        <w:pStyle w:val="2"/>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
      </w:pPr>
    </w:p>
    <w:p w14:paraId="65F84B20">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35" w:tblpY="197"/>
        <w:tblOverlap w:val="never"/>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88"/>
        <w:gridCol w:w="1264"/>
        <w:gridCol w:w="822"/>
        <w:gridCol w:w="5875"/>
      </w:tblGrid>
      <w:tr w14:paraId="23DE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2" w:type="pct"/>
            <w:vAlign w:val="center"/>
          </w:tcPr>
          <w:p w14:paraId="11FD91B5">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61127AB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315" w:type="pct"/>
            <w:vAlign w:val="center"/>
          </w:tcPr>
          <w:p w14:paraId="79B7E74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678" w:type="pct"/>
            <w:vAlign w:val="center"/>
          </w:tcPr>
          <w:p w14:paraId="69FC3F9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441" w:type="pct"/>
            <w:vAlign w:val="center"/>
          </w:tcPr>
          <w:p w14:paraId="4BB5DB9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52" w:type="pct"/>
            <w:vAlign w:val="center"/>
          </w:tcPr>
          <w:p w14:paraId="1B8D3E6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266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Merge w:val="restart"/>
            <w:vAlign w:val="center"/>
          </w:tcPr>
          <w:p w14:paraId="68890FD1">
            <w:pPr>
              <w:rPr>
                <w:rFonts w:hint="eastAsia" w:ascii="宋体" w:hAnsi="宋体" w:eastAsia="宋体" w:cs="Times New Roman"/>
                <w:szCs w:val="21"/>
              </w:rPr>
            </w:pPr>
            <w:r>
              <w:rPr>
                <w:rFonts w:hint="eastAsia" w:ascii="宋体" w:hAnsi="宋体" w:eastAsia="宋体" w:cs="Times New Roman"/>
                <w:szCs w:val="21"/>
              </w:rPr>
              <w:t>产品技术</w:t>
            </w:r>
          </w:p>
        </w:tc>
        <w:tc>
          <w:tcPr>
            <w:tcW w:w="315" w:type="pct"/>
            <w:vAlign w:val="center"/>
          </w:tcPr>
          <w:p w14:paraId="696BA7AA">
            <w:pPr>
              <w:rPr>
                <w:rFonts w:hint="eastAsia" w:ascii="宋体" w:hAnsi="宋体" w:eastAsia="宋体" w:cs="Times New Roman"/>
                <w:szCs w:val="21"/>
              </w:rPr>
            </w:pPr>
            <w:r>
              <w:rPr>
                <w:rFonts w:hint="eastAsia" w:ascii="宋体" w:hAnsi="宋体" w:eastAsia="宋体" w:cs="Times New Roman"/>
                <w:szCs w:val="21"/>
              </w:rPr>
              <w:t>1</w:t>
            </w:r>
          </w:p>
        </w:tc>
        <w:tc>
          <w:tcPr>
            <w:tcW w:w="678" w:type="pct"/>
            <w:vAlign w:val="center"/>
          </w:tcPr>
          <w:p w14:paraId="41FFF794">
            <w:pPr>
              <w:rPr>
                <w:rFonts w:hint="eastAsia" w:ascii="宋体" w:hAnsi="宋体" w:eastAsia="宋体" w:cs="Times New Roman"/>
                <w:szCs w:val="21"/>
              </w:rPr>
            </w:pPr>
            <w:r>
              <w:rPr>
                <w:rFonts w:hint="eastAsia" w:ascii="宋体" w:hAnsi="宋体" w:eastAsia="宋体" w:cs="Times New Roman"/>
                <w:szCs w:val="21"/>
              </w:rPr>
              <w:t>技术参数</w:t>
            </w:r>
          </w:p>
        </w:tc>
        <w:tc>
          <w:tcPr>
            <w:tcW w:w="441" w:type="pct"/>
            <w:vAlign w:val="center"/>
          </w:tcPr>
          <w:p w14:paraId="59EF6550">
            <w:pPr>
              <w:rPr>
                <w:rFonts w:hint="eastAsia" w:ascii="宋体" w:hAnsi="宋体" w:eastAsia="宋体" w:cs="Times New Roman"/>
                <w:szCs w:val="21"/>
              </w:rPr>
            </w:pPr>
            <w:r>
              <w:rPr>
                <w:rFonts w:hint="eastAsia" w:ascii="宋体" w:hAnsi="宋体" w:eastAsia="宋体" w:cs="Times New Roman"/>
                <w:szCs w:val="21"/>
              </w:rPr>
              <w:t>40</w:t>
            </w:r>
          </w:p>
        </w:tc>
        <w:tc>
          <w:tcPr>
            <w:tcW w:w="3152" w:type="pct"/>
            <w:vAlign w:val="center"/>
          </w:tcPr>
          <w:p w14:paraId="1CD64F29">
            <w:pPr>
              <w:rPr>
                <w:rFonts w:hint="eastAsia" w:ascii="宋体" w:hAnsi="宋体" w:eastAsia="宋体" w:cs="Times New Roman"/>
                <w:szCs w:val="21"/>
              </w:rPr>
            </w:pPr>
            <w:r>
              <w:rPr>
                <w:rFonts w:hint="eastAsia" w:ascii="宋体" w:hAnsi="宋体" w:eastAsia="宋体" w:cs="Times New Roman"/>
                <w:szCs w:val="21"/>
              </w:rPr>
              <w:t>投标文件中技术参数符合招标文件的要求赋20分，再详细考察其功能与项目需求的吻合性,有一处负偏离，扣</w:t>
            </w:r>
            <w:r>
              <w:rPr>
                <w:rFonts w:hint="eastAsia" w:ascii="宋体" w:hAnsi="宋体" w:eastAsia="宋体" w:cs="Times New Roman"/>
                <w:szCs w:val="21"/>
                <w:lang w:val="en-US" w:eastAsia="zh-CN"/>
              </w:rPr>
              <w:t>2</w:t>
            </w:r>
            <w:r>
              <w:rPr>
                <w:rFonts w:hint="eastAsia" w:ascii="宋体" w:hAnsi="宋体" w:eastAsia="宋体" w:cs="Times New Roman"/>
                <w:szCs w:val="21"/>
              </w:rPr>
              <w:t>分，以此类推</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扣完为止</w:t>
            </w:r>
            <w:r>
              <w:rPr>
                <w:rFonts w:hint="eastAsia" w:ascii="宋体" w:hAnsi="宋体" w:eastAsia="宋体" w:cs="Times New Roman"/>
                <w:szCs w:val="21"/>
              </w:rPr>
              <w:t>；有正偏离，且对项目存在实际改进作用，则加2分，最高可以加</w:t>
            </w:r>
            <w:r>
              <w:rPr>
                <w:rFonts w:hint="eastAsia" w:ascii="宋体" w:hAnsi="宋体" w:eastAsia="宋体" w:cs="Times New Roman"/>
                <w:szCs w:val="21"/>
                <w:lang w:val="en-US" w:eastAsia="zh-CN"/>
              </w:rPr>
              <w:t>20</w:t>
            </w:r>
            <w:r>
              <w:rPr>
                <w:rFonts w:hint="eastAsia" w:ascii="宋体" w:hAnsi="宋体" w:eastAsia="宋体" w:cs="Times New Roman"/>
                <w:szCs w:val="21"/>
              </w:rPr>
              <w:t>分。</w:t>
            </w:r>
          </w:p>
        </w:tc>
      </w:tr>
      <w:tr w14:paraId="6467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412" w:type="pct"/>
            <w:vMerge w:val="continue"/>
            <w:vAlign w:val="center"/>
          </w:tcPr>
          <w:p w14:paraId="727F663F">
            <w:pPr>
              <w:rPr>
                <w:rFonts w:hint="eastAsia" w:ascii="宋体" w:hAnsi="宋体" w:eastAsia="宋体" w:cs="Times New Roman"/>
                <w:szCs w:val="21"/>
              </w:rPr>
            </w:pPr>
          </w:p>
        </w:tc>
        <w:tc>
          <w:tcPr>
            <w:tcW w:w="315" w:type="pct"/>
            <w:vAlign w:val="center"/>
          </w:tcPr>
          <w:p w14:paraId="01DC831C">
            <w:pPr>
              <w:rPr>
                <w:rFonts w:hint="eastAsia" w:ascii="宋体" w:hAnsi="宋体" w:eastAsia="宋体" w:cs="Times New Roman"/>
                <w:szCs w:val="21"/>
              </w:rPr>
            </w:pPr>
            <w:r>
              <w:rPr>
                <w:rFonts w:hint="eastAsia" w:ascii="宋体" w:hAnsi="宋体" w:eastAsia="宋体" w:cs="Times New Roman"/>
                <w:szCs w:val="21"/>
              </w:rPr>
              <w:t>2</w:t>
            </w:r>
          </w:p>
        </w:tc>
        <w:tc>
          <w:tcPr>
            <w:tcW w:w="678" w:type="pct"/>
            <w:vAlign w:val="center"/>
          </w:tcPr>
          <w:p w14:paraId="218DD289">
            <w:pPr>
              <w:rPr>
                <w:rFonts w:hint="eastAsia" w:ascii="宋体" w:hAnsi="宋体" w:eastAsia="宋体" w:cs="Times New Roman"/>
                <w:szCs w:val="21"/>
              </w:rPr>
            </w:pPr>
            <w:r>
              <w:rPr>
                <w:rFonts w:hint="eastAsia" w:ascii="宋体" w:hAnsi="宋体" w:eastAsia="宋体" w:cs="Times New Roman"/>
                <w:szCs w:val="21"/>
              </w:rPr>
              <w:t>核心产品</w:t>
            </w:r>
          </w:p>
        </w:tc>
        <w:tc>
          <w:tcPr>
            <w:tcW w:w="441" w:type="pct"/>
            <w:vAlign w:val="center"/>
          </w:tcPr>
          <w:p w14:paraId="53BB8C48">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326DFA0D">
            <w:pPr>
              <w:rPr>
                <w:rFonts w:hint="eastAsia" w:ascii="宋体" w:hAnsi="宋体" w:eastAsia="宋体" w:cs="Times New Roman"/>
                <w:szCs w:val="21"/>
              </w:rPr>
            </w:pPr>
            <w:r>
              <w:rPr>
                <w:rFonts w:hint="eastAsia" w:ascii="宋体" w:hAnsi="宋体" w:eastAsia="宋体" w:cs="Times New Roman"/>
                <w:szCs w:val="21"/>
              </w:rPr>
              <w:t>对核心产品在项目中所起的作用和描述，每一项各2分。</w:t>
            </w:r>
          </w:p>
        </w:tc>
      </w:tr>
      <w:tr w14:paraId="6BA0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412" w:type="pct"/>
            <w:vMerge w:val="continue"/>
            <w:vAlign w:val="center"/>
          </w:tcPr>
          <w:p w14:paraId="26F765F5">
            <w:pPr>
              <w:rPr>
                <w:rFonts w:hint="eastAsia" w:ascii="宋体" w:hAnsi="宋体" w:eastAsia="宋体" w:cs="Times New Roman"/>
                <w:szCs w:val="21"/>
              </w:rPr>
            </w:pPr>
          </w:p>
        </w:tc>
        <w:tc>
          <w:tcPr>
            <w:tcW w:w="315" w:type="pct"/>
            <w:vAlign w:val="center"/>
          </w:tcPr>
          <w:p w14:paraId="45C01F81">
            <w:pPr>
              <w:rPr>
                <w:rFonts w:hint="eastAsia" w:ascii="宋体" w:hAnsi="宋体" w:eastAsia="宋体" w:cs="Times New Roman"/>
                <w:szCs w:val="21"/>
              </w:rPr>
            </w:pPr>
            <w:r>
              <w:rPr>
                <w:rFonts w:hint="eastAsia" w:ascii="宋体" w:hAnsi="宋体" w:eastAsia="宋体" w:cs="Times New Roman"/>
                <w:szCs w:val="21"/>
              </w:rPr>
              <w:t>3</w:t>
            </w:r>
          </w:p>
        </w:tc>
        <w:tc>
          <w:tcPr>
            <w:tcW w:w="678" w:type="pct"/>
            <w:vAlign w:val="center"/>
          </w:tcPr>
          <w:p w14:paraId="4DE77140">
            <w:pPr>
              <w:rPr>
                <w:rFonts w:hint="eastAsia" w:ascii="宋体" w:hAnsi="宋体" w:eastAsia="宋体" w:cs="Times New Roman"/>
                <w:szCs w:val="21"/>
              </w:rPr>
            </w:pPr>
            <w:r>
              <w:rPr>
                <w:rFonts w:hint="eastAsia" w:ascii="宋体" w:hAnsi="宋体" w:eastAsia="宋体" w:cs="Times New Roman"/>
                <w:szCs w:val="21"/>
              </w:rPr>
              <w:t>关键部件技术支持资料</w:t>
            </w:r>
          </w:p>
        </w:tc>
        <w:tc>
          <w:tcPr>
            <w:tcW w:w="441" w:type="pct"/>
            <w:vAlign w:val="center"/>
          </w:tcPr>
          <w:p w14:paraId="76A31318">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5841A1CA">
            <w:pPr>
              <w:rPr>
                <w:rFonts w:hint="eastAsia" w:ascii="宋体" w:hAnsi="宋体" w:eastAsia="宋体" w:cs="Times New Roman"/>
                <w:szCs w:val="21"/>
              </w:rPr>
            </w:pPr>
            <w:r>
              <w:rPr>
                <w:rFonts w:hint="eastAsia" w:ascii="宋体" w:hAnsi="宋体" w:eastAsia="宋体" w:cs="Times New Roman"/>
                <w:szCs w:val="21"/>
              </w:rPr>
              <w:t>关键部件技术支持资料完整（含不限于部件名称、数量、厂家等信息），以产品厂家网页内容或者实际宣传彩页为准。</w:t>
            </w:r>
          </w:p>
        </w:tc>
      </w:tr>
      <w:tr w14:paraId="2217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412" w:type="pct"/>
            <w:vAlign w:val="center"/>
          </w:tcPr>
          <w:p w14:paraId="505E2B32">
            <w:pP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027DE9D9">
            <w:pPr>
              <w:rPr>
                <w:rFonts w:hint="eastAsia" w:ascii="宋体" w:hAnsi="宋体" w:eastAsia="宋体" w:cs="Times New Roman"/>
                <w:szCs w:val="21"/>
              </w:rPr>
            </w:pPr>
            <w:r>
              <w:rPr>
                <w:rFonts w:hint="eastAsia" w:ascii="宋体" w:hAnsi="宋体" w:eastAsia="宋体" w:cs="Times New Roman"/>
                <w:szCs w:val="21"/>
              </w:rPr>
              <w:t>4</w:t>
            </w:r>
          </w:p>
        </w:tc>
        <w:tc>
          <w:tcPr>
            <w:tcW w:w="678" w:type="pct"/>
            <w:vAlign w:val="center"/>
          </w:tcPr>
          <w:p w14:paraId="1E337E68">
            <w:pPr>
              <w:rPr>
                <w:rFonts w:hint="eastAsia" w:ascii="宋体" w:hAnsi="宋体" w:eastAsia="宋体" w:cs="Times New Roman"/>
                <w:szCs w:val="21"/>
              </w:rPr>
            </w:pPr>
            <w:r>
              <w:rPr>
                <w:rFonts w:hint="eastAsia" w:ascii="宋体" w:hAnsi="宋体" w:eastAsia="宋体" w:cs="Times New Roman"/>
                <w:szCs w:val="21"/>
              </w:rPr>
              <w:t>现场答疑</w:t>
            </w:r>
          </w:p>
        </w:tc>
        <w:tc>
          <w:tcPr>
            <w:tcW w:w="441" w:type="pct"/>
            <w:vAlign w:val="center"/>
          </w:tcPr>
          <w:p w14:paraId="2255A532">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77CF3BD6">
            <w:pPr>
              <w:rPr>
                <w:rFonts w:hint="eastAsia" w:ascii="宋体" w:hAnsi="宋体" w:eastAsia="宋体" w:cs="Times New Roman"/>
                <w:szCs w:val="21"/>
              </w:rPr>
            </w:pPr>
            <w:r>
              <w:rPr>
                <w:rFonts w:hint="eastAsia" w:ascii="宋体" w:hAnsi="宋体" w:eastAsia="宋体" w:cs="Times New Roman"/>
                <w:szCs w:val="21"/>
              </w:rPr>
              <w:t>是否了解项目实际作用，谈一谈自己对项目的理解；（6分）</w:t>
            </w:r>
          </w:p>
          <w:p w14:paraId="5061A8A4">
            <w:pPr>
              <w:rPr>
                <w:rFonts w:hint="eastAsia" w:ascii="宋体" w:hAnsi="宋体" w:eastAsia="宋体" w:cs="Times New Roman"/>
                <w:szCs w:val="21"/>
              </w:rPr>
            </w:pPr>
            <w:r>
              <w:rPr>
                <w:rFonts w:hint="eastAsia" w:ascii="宋体" w:hAnsi="宋体" w:eastAsia="宋体" w:cs="Times New Roman"/>
                <w:szCs w:val="21"/>
              </w:rPr>
              <w:t>是否在招标前至项目实际所在地勘察；（2分）</w:t>
            </w:r>
          </w:p>
          <w:p w14:paraId="73DA6B97">
            <w:pPr>
              <w:rPr>
                <w:rFonts w:hint="eastAsia" w:ascii="宋体" w:hAnsi="宋体" w:eastAsia="宋体" w:cs="Times New Roman"/>
                <w:szCs w:val="21"/>
              </w:rPr>
            </w:pPr>
            <w:r>
              <w:rPr>
                <w:rFonts w:hint="eastAsia" w:ascii="宋体" w:hAnsi="宋体" w:eastAsia="宋体" w:cs="Times New Roman"/>
                <w:szCs w:val="21"/>
              </w:rPr>
              <w:t>是否了解客户现有的设备配置。（2分）</w:t>
            </w:r>
          </w:p>
        </w:tc>
      </w:tr>
      <w:tr w14:paraId="6B82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Align w:val="center"/>
          </w:tcPr>
          <w:p w14:paraId="0CA72DC8">
            <w:pPr>
              <w:rPr>
                <w:rFonts w:hint="eastAsia" w:ascii="宋体" w:hAnsi="宋体" w:eastAsia="宋体" w:cs="Times New Roman"/>
                <w:szCs w:val="21"/>
              </w:rPr>
            </w:pPr>
            <w:r>
              <w:rPr>
                <w:rFonts w:hint="eastAsia" w:ascii="宋体" w:hAnsi="宋体" w:eastAsia="宋体" w:cs="Times New Roman"/>
                <w:szCs w:val="21"/>
              </w:rPr>
              <w:t>技术偏离</w:t>
            </w:r>
          </w:p>
        </w:tc>
        <w:tc>
          <w:tcPr>
            <w:tcW w:w="315" w:type="pct"/>
            <w:vAlign w:val="center"/>
          </w:tcPr>
          <w:p w14:paraId="6365A02E">
            <w:pPr>
              <w:rPr>
                <w:rFonts w:hint="eastAsia" w:ascii="宋体" w:hAnsi="宋体" w:eastAsia="宋体" w:cs="Times New Roman"/>
                <w:szCs w:val="21"/>
              </w:rPr>
            </w:pPr>
            <w:r>
              <w:rPr>
                <w:rFonts w:hint="eastAsia" w:ascii="宋体" w:hAnsi="宋体" w:eastAsia="宋体" w:cs="Times New Roman"/>
                <w:szCs w:val="21"/>
              </w:rPr>
              <w:t>5</w:t>
            </w:r>
          </w:p>
        </w:tc>
        <w:tc>
          <w:tcPr>
            <w:tcW w:w="678" w:type="pct"/>
            <w:vAlign w:val="center"/>
          </w:tcPr>
          <w:p w14:paraId="5F7CE593">
            <w:pPr>
              <w:rPr>
                <w:rFonts w:hint="eastAsia" w:ascii="宋体" w:hAnsi="宋体" w:eastAsia="宋体" w:cs="Times New Roman"/>
                <w:szCs w:val="21"/>
              </w:rPr>
            </w:pPr>
            <w:r>
              <w:rPr>
                <w:rFonts w:hint="eastAsia" w:ascii="宋体" w:hAnsi="宋体" w:eastAsia="宋体" w:cs="Times New Roman"/>
                <w:szCs w:val="21"/>
              </w:rPr>
              <w:t>技术偏离</w:t>
            </w:r>
          </w:p>
        </w:tc>
        <w:tc>
          <w:tcPr>
            <w:tcW w:w="441" w:type="pct"/>
            <w:vAlign w:val="center"/>
          </w:tcPr>
          <w:p w14:paraId="36F27A06">
            <w:pPr>
              <w:rPr>
                <w:rFonts w:hint="eastAsia" w:ascii="宋体" w:hAnsi="宋体" w:eastAsia="宋体" w:cs="Times New Roman"/>
                <w:szCs w:val="21"/>
              </w:rPr>
            </w:pPr>
            <w:r>
              <w:rPr>
                <w:rFonts w:hint="eastAsia" w:ascii="宋体" w:hAnsi="宋体" w:eastAsia="宋体" w:cs="Times New Roman"/>
                <w:szCs w:val="21"/>
              </w:rPr>
              <w:t>12</w:t>
            </w:r>
          </w:p>
        </w:tc>
        <w:tc>
          <w:tcPr>
            <w:tcW w:w="3152" w:type="pct"/>
            <w:vAlign w:val="center"/>
          </w:tcPr>
          <w:p w14:paraId="389EFDB8">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2BD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412" w:type="pct"/>
            <w:vMerge w:val="restart"/>
            <w:vAlign w:val="center"/>
          </w:tcPr>
          <w:p w14:paraId="65D06348">
            <w:pPr>
              <w:rPr>
                <w:rFonts w:hint="eastAsia" w:ascii="宋体" w:hAnsi="宋体" w:eastAsia="宋体" w:cs="Times New Roman"/>
                <w:szCs w:val="21"/>
              </w:rPr>
            </w:pPr>
            <w:r>
              <w:rPr>
                <w:rFonts w:hint="eastAsia" w:ascii="宋体" w:hAnsi="宋体" w:eastAsia="宋体" w:cs="Times New Roman"/>
                <w:szCs w:val="21"/>
              </w:rPr>
              <w:t>售后服务</w:t>
            </w:r>
          </w:p>
        </w:tc>
        <w:tc>
          <w:tcPr>
            <w:tcW w:w="315" w:type="pct"/>
            <w:vAlign w:val="center"/>
          </w:tcPr>
          <w:p w14:paraId="2199EB55">
            <w:pPr>
              <w:rPr>
                <w:rFonts w:hint="eastAsia" w:ascii="宋体" w:hAnsi="宋体" w:eastAsia="宋体" w:cs="Times New Roman"/>
                <w:szCs w:val="21"/>
              </w:rPr>
            </w:pPr>
            <w:r>
              <w:rPr>
                <w:rFonts w:hint="eastAsia" w:ascii="宋体" w:hAnsi="宋体" w:eastAsia="宋体" w:cs="Times New Roman"/>
                <w:szCs w:val="21"/>
              </w:rPr>
              <w:t>6</w:t>
            </w:r>
          </w:p>
        </w:tc>
        <w:tc>
          <w:tcPr>
            <w:tcW w:w="678" w:type="pct"/>
            <w:vAlign w:val="center"/>
          </w:tcPr>
          <w:p w14:paraId="49776D9A">
            <w:pPr>
              <w:rPr>
                <w:rFonts w:hint="eastAsia" w:ascii="宋体" w:hAnsi="宋体" w:eastAsia="宋体" w:cs="Times New Roman"/>
                <w:szCs w:val="21"/>
              </w:rPr>
            </w:pPr>
            <w:r>
              <w:rPr>
                <w:rFonts w:hint="eastAsia" w:ascii="宋体" w:hAnsi="宋体" w:eastAsia="宋体" w:cs="Times New Roman"/>
                <w:szCs w:val="21"/>
              </w:rPr>
              <w:t>技术培训方案</w:t>
            </w:r>
          </w:p>
        </w:tc>
        <w:tc>
          <w:tcPr>
            <w:tcW w:w="441" w:type="pct"/>
            <w:vAlign w:val="center"/>
          </w:tcPr>
          <w:p w14:paraId="38AEFFB1">
            <w:pPr>
              <w:rPr>
                <w:rFonts w:hint="eastAsia" w:ascii="宋体" w:hAnsi="宋体" w:eastAsia="宋体" w:cs="Times New Roman"/>
                <w:szCs w:val="21"/>
              </w:rPr>
            </w:pPr>
            <w:r>
              <w:rPr>
                <w:rFonts w:hint="eastAsia" w:ascii="宋体" w:hAnsi="宋体" w:eastAsia="宋体" w:cs="Times New Roman"/>
                <w:szCs w:val="21"/>
              </w:rPr>
              <w:t>6</w:t>
            </w:r>
          </w:p>
        </w:tc>
        <w:tc>
          <w:tcPr>
            <w:tcW w:w="3152" w:type="pct"/>
            <w:vAlign w:val="center"/>
          </w:tcPr>
          <w:p w14:paraId="2C76C923">
            <w:pPr>
              <w:rPr>
                <w:rFonts w:hint="eastAsia" w:ascii="宋体" w:hAnsi="宋体" w:eastAsia="宋体" w:cs="Times New Roman"/>
                <w:szCs w:val="21"/>
              </w:rPr>
            </w:pPr>
            <w:r>
              <w:rPr>
                <w:rFonts w:hint="eastAsia" w:ascii="宋体" w:hAnsi="宋体" w:eastAsia="宋体" w:cs="Times New Roman"/>
                <w:szCs w:val="21"/>
              </w:rPr>
              <w:t>对采购方人员的技术培训方案安排科学、合理、可行。</w:t>
            </w:r>
          </w:p>
          <w:p w14:paraId="470405F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7833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Merge w:val="continue"/>
            <w:vAlign w:val="center"/>
          </w:tcPr>
          <w:p w14:paraId="049E80E5">
            <w:pPr>
              <w:rPr>
                <w:rFonts w:hint="eastAsia" w:ascii="宋体" w:hAnsi="宋体" w:eastAsia="宋体" w:cs="Times New Roman"/>
                <w:szCs w:val="21"/>
              </w:rPr>
            </w:pPr>
          </w:p>
        </w:tc>
        <w:tc>
          <w:tcPr>
            <w:tcW w:w="315" w:type="pct"/>
            <w:vAlign w:val="center"/>
          </w:tcPr>
          <w:p w14:paraId="02EBBA2F">
            <w:pPr>
              <w:rPr>
                <w:rFonts w:hint="eastAsia" w:ascii="宋体" w:hAnsi="宋体" w:eastAsia="宋体" w:cs="Times New Roman"/>
                <w:szCs w:val="21"/>
              </w:rPr>
            </w:pPr>
            <w:r>
              <w:rPr>
                <w:rFonts w:hint="eastAsia" w:ascii="宋体" w:hAnsi="宋体" w:eastAsia="宋体" w:cs="Times New Roman"/>
                <w:szCs w:val="21"/>
              </w:rPr>
              <w:t>7</w:t>
            </w:r>
          </w:p>
        </w:tc>
        <w:tc>
          <w:tcPr>
            <w:tcW w:w="678" w:type="pct"/>
            <w:shd w:val="clear" w:color="auto" w:fill="auto"/>
            <w:vAlign w:val="center"/>
          </w:tcPr>
          <w:p w14:paraId="18802067">
            <w:pPr>
              <w:rPr>
                <w:rFonts w:hint="eastAsia" w:ascii="宋体" w:hAnsi="宋体" w:eastAsia="宋体" w:cs="Times New Roman"/>
                <w:szCs w:val="21"/>
              </w:rPr>
            </w:pPr>
            <w:r>
              <w:rPr>
                <w:rFonts w:hint="eastAsia" w:ascii="宋体" w:hAnsi="宋体" w:eastAsia="宋体" w:cs="Times New Roman"/>
                <w:szCs w:val="21"/>
              </w:rPr>
              <w:t>专业技术力量</w:t>
            </w:r>
          </w:p>
        </w:tc>
        <w:tc>
          <w:tcPr>
            <w:tcW w:w="441" w:type="pct"/>
            <w:shd w:val="clear" w:color="auto" w:fill="auto"/>
            <w:vAlign w:val="center"/>
          </w:tcPr>
          <w:p w14:paraId="4F68644B">
            <w:pPr>
              <w:rPr>
                <w:rFonts w:hint="eastAsia" w:ascii="宋体" w:hAnsi="宋体" w:eastAsia="宋体" w:cs="Times New Roman"/>
                <w:szCs w:val="21"/>
              </w:rPr>
            </w:pPr>
            <w:r>
              <w:rPr>
                <w:rFonts w:hint="eastAsia" w:ascii="宋体" w:hAnsi="宋体" w:eastAsia="宋体" w:cs="Times New Roman"/>
                <w:szCs w:val="21"/>
              </w:rPr>
              <w:t>6</w:t>
            </w:r>
          </w:p>
        </w:tc>
        <w:tc>
          <w:tcPr>
            <w:tcW w:w="3152" w:type="pct"/>
            <w:shd w:val="clear" w:color="auto" w:fill="auto"/>
            <w:vAlign w:val="center"/>
          </w:tcPr>
          <w:p w14:paraId="18B13F5D">
            <w:pPr>
              <w:rPr>
                <w:rFonts w:hint="eastAsia" w:ascii="宋体" w:hAnsi="宋体" w:eastAsia="宋体" w:cs="Times New Roman"/>
                <w:szCs w:val="21"/>
              </w:rPr>
            </w:pPr>
            <w:r>
              <w:rPr>
                <w:rFonts w:hint="eastAsia" w:ascii="宋体" w:hAnsi="宋体" w:eastAsia="宋体" w:cs="Times New Roman"/>
                <w:szCs w:val="21"/>
              </w:rPr>
              <w:t>投标人在中国有常驻的专业技术力量的维保机构并具有实施本项目维保的专业技术人员。</w:t>
            </w:r>
          </w:p>
          <w:p w14:paraId="3678C39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4AD6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412" w:type="pct"/>
            <w:vMerge w:val="continue"/>
            <w:vAlign w:val="center"/>
          </w:tcPr>
          <w:p w14:paraId="1BE014F4">
            <w:pPr>
              <w:rPr>
                <w:rFonts w:hint="eastAsia" w:ascii="宋体" w:hAnsi="宋体" w:eastAsia="宋体" w:cs="Times New Roman"/>
                <w:szCs w:val="21"/>
              </w:rPr>
            </w:pPr>
          </w:p>
        </w:tc>
        <w:tc>
          <w:tcPr>
            <w:tcW w:w="315" w:type="pct"/>
            <w:vAlign w:val="center"/>
          </w:tcPr>
          <w:p w14:paraId="089817C0">
            <w:pPr>
              <w:rPr>
                <w:rFonts w:hint="eastAsia" w:ascii="宋体" w:hAnsi="宋体" w:eastAsia="宋体" w:cs="Times New Roman"/>
                <w:szCs w:val="21"/>
              </w:rPr>
            </w:pPr>
            <w:r>
              <w:rPr>
                <w:rFonts w:hint="eastAsia" w:ascii="宋体" w:hAnsi="宋体" w:eastAsia="宋体" w:cs="Times New Roman"/>
                <w:szCs w:val="21"/>
              </w:rPr>
              <w:t>8</w:t>
            </w:r>
          </w:p>
        </w:tc>
        <w:tc>
          <w:tcPr>
            <w:tcW w:w="678" w:type="pct"/>
            <w:vAlign w:val="center"/>
          </w:tcPr>
          <w:p w14:paraId="334E025E">
            <w:pPr>
              <w:rPr>
                <w:rFonts w:hint="eastAsia" w:ascii="宋体" w:hAnsi="宋体" w:eastAsia="宋体" w:cs="Times New Roman"/>
                <w:szCs w:val="21"/>
              </w:rPr>
            </w:pPr>
            <w:r>
              <w:rPr>
                <w:rFonts w:hint="eastAsia" w:ascii="宋体" w:hAnsi="宋体" w:eastAsia="宋体" w:cs="Times New Roman"/>
                <w:szCs w:val="21"/>
              </w:rPr>
              <w:t>售后服务</w:t>
            </w:r>
          </w:p>
        </w:tc>
        <w:tc>
          <w:tcPr>
            <w:tcW w:w="441" w:type="pct"/>
            <w:vAlign w:val="center"/>
          </w:tcPr>
          <w:p w14:paraId="00ED1420">
            <w:pPr>
              <w:rPr>
                <w:rFonts w:hint="eastAsia" w:ascii="宋体" w:hAnsi="宋体" w:eastAsia="宋体" w:cs="Times New Roman"/>
                <w:szCs w:val="21"/>
              </w:rPr>
            </w:pPr>
            <w:r>
              <w:rPr>
                <w:rFonts w:hint="eastAsia" w:ascii="宋体" w:hAnsi="宋体" w:eastAsia="宋体" w:cs="Times New Roman"/>
                <w:szCs w:val="21"/>
              </w:rPr>
              <w:t>6</w:t>
            </w:r>
          </w:p>
        </w:tc>
        <w:tc>
          <w:tcPr>
            <w:tcW w:w="3152" w:type="pct"/>
            <w:vAlign w:val="center"/>
          </w:tcPr>
          <w:p w14:paraId="7CF8D2D7">
            <w:pPr>
              <w:rPr>
                <w:rFonts w:hint="eastAsia" w:ascii="宋体" w:hAnsi="宋体" w:eastAsia="宋体" w:cs="Times New Roman"/>
                <w:szCs w:val="21"/>
              </w:rPr>
            </w:pPr>
            <w:r>
              <w:rPr>
                <w:rFonts w:hint="eastAsia" w:ascii="宋体" w:hAnsi="宋体" w:eastAsia="宋体" w:cs="Times New Roman"/>
                <w:szCs w:val="21"/>
              </w:rPr>
              <w:t>售后服务及时周到，有相应的服务承诺和具体的保证措施。</w:t>
            </w:r>
          </w:p>
          <w:p w14:paraId="5A2ABFF3">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bl>
    <w:p w14:paraId="6CAB9AA9">
      <w:pPr>
        <w:pStyle w:val="2"/>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3EC7BA94">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663713D7">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02BE140B">
      <w:pPr>
        <w:pStyle w:val="2"/>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5B556880">
      <w:pPr>
        <w:pStyle w:val="2"/>
        <w:sectPr>
          <w:pgSz w:w="11906" w:h="16838"/>
          <w:pgMar w:top="1588" w:right="1418" w:bottom="1134" w:left="1418" w:header="851" w:footer="992" w:gutter="0"/>
          <w:cols w:space="720" w:num="1"/>
          <w:titlePg/>
          <w:docGrid w:type="lines" w:linePitch="312" w:charSpace="0"/>
        </w:sectPr>
      </w:pPr>
    </w:p>
    <w:p w14:paraId="0C5CA41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autoRedefine/>
    <w:qFormat/>
    <w:uiPriority w:val="9"/>
    <w:pPr>
      <w:keepNext/>
      <w:keepLines/>
      <w:jc w:val="center"/>
      <w:outlineLvl w:val="0"/>
    </w:pPr>
    <w:rPr>
      <w:b/>
      <w:bCs/>
      <w:kern w:val="44"/>
      <w:sz w:val="36"/>
      <w:szCs w:val="44"/>
    </w:rPr>
  </w:style>
  <w:style w:type="paragraph" w:styleId="4">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74"/>
    <w:autoRedefine/>
    <w:qFormat/>
    <w:uiPriority w:val="0"/>
    <w:rPr>
      <w:rFonts w:ascii="宋体" w:hAnsi="Courier New"/>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autoRedefine/>
    <w:qFormat/>
    <w:uiPriority w:val="0"/>
    <w:pPr>
      <w:ind w:firstLine="420"/>
    </w:pPr>
    <w:rPr>
      <w:rFonts w:ascii="Times New Roman" w:hAnsi="Times New Roman"/>
      <w:kern w:val="0"/>
      <w:sz w:val="20"/>
      <w:szCs w:val="2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2"/>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3"/>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8">
    <w:name w:val="index 4"/>
    <w:basedOn w:val="1"/>
    <w:next w:val="1"/>
    <w:autoRedefine/>
    <w:qFormat/>
    <w:uiPriority w:val="0"/>
    <w:pPr>
      <w:ind w:left="600" w:leftChars="600"/>
    </w:pPr>
  </w:style>
  <w:style w:type="paragraph" w:styleId="19">
    <w:name w:val="toc 5"/>
    <w:basedOn w:val="1"/>
    <w:next w:val="1"/>
    <w:autoRedefine/>
    <w:qFormat/>
    <w:uiPriority w:val="39"/>
    <w:pPr>
      <w:ind w:left="960"/>
      <w:jc w:val="left"/>
    </w:pPr>
    <w:rPr>
      <w:rFonts w:ascii="Calibri" w:hAnsi="Calibri" w:eastAsia="宋体" w:cs="Times New Roman"/>
      <w:sz w:val="18"/>
      <w:szCs w:val="18"/>
    </w:rPr>
  </w:style>
  <w:style w:type="paragraph" w:styleId="20">
    <w:name w:val="toc 3"/>
    <w:basedOn w:val="1"/>
    <w:next w:val="1"/>
    <w:autoRedefine/>
    <w:qFormat/>
    <w:uiPriority w:val="39"/>
    <w:pPr>
      <w:ind w:left="480"/>
      <w:jc w:val="left"/>
    </w:pPr>
    <w:rPr>
      <w:rFonts w:ascii="Calibri" w:hAnsi="Calibri" w:eastAsia="宋体" w:cs="Times New Roman"/>
      <w:i/>
      <w:iCs/>
      <w:sz w:val="20"/>
      <w:szCs w:val="20"/>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autoRedefine/>
    <w:qFormat/>
    <w:uiPriority w:val="0"/>
    <w:rPr>
      <w:b/>
    </w:rPr>
  </w:style>
  <w:style w:type="paragraph" w:styleId="38">
    <w:name w:val="Body Text First Indent 2"/>
    <w:basedOn w:val="17"/>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3"/>
    <w:autoRedefine/>
    <w:qFormat/>
    <w:uiPriority w:val="9"/>
    <w:rPr>
      <w:rFonts w:ascii="Calibri" w:hAnsi="Calibri" w:eastAsia="宋体" w:cs="Times New Roman"/>
      <w:b/>
      <w:bCs/>
      <w:kern w:val="44"/>
      <w:sz w:val="36"/>
      <w:szCs w:val="44"/>
    </w:rPr>
  </w:style>
  <w:style w:type="character" w:customStyle="1" w:styleId="50">
    <w:name w:val="标题 2 Char"/>
    <w:basedOn w:val="41"/>
    <w:link w:val="4"/>
    <w:autoRedefine/>
    <w:qFormat/>
    <w:uiPriority w:val="9"/>
    <w:rPr>
      <w:rFonts w:ascii="Arial" w:hAnsi="Arial" w:eastAsia="宋体" w:cs="Times New Roman"/>
      <w:b/>
      <w:bCs/>
      <w:sz w:val="24"/>
      <w:szCs w:val="32"/>
    </w:rPr>
  </w:style>
  <w:style w:type="character" w:customStyle="1" w:styleId="51">
    <w:name w:val="标题 3 Char"/>
    <w:basedOn w:val="41"/>
    <w:link w:val="5"/>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4"/>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2"/>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7"/>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6"/>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5"/>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3"/>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21"/>
    <w:basedOn w:val="41"/>
    <w:qFormat/>
    <w:uiPriority w:val="0"/>
    <w:rPr>
      <w:rFonts w:hint="default" w:ascii="Times New Roman" w:hAnsi="Times New Roman" w:cs="Times New Roman"/>
      <w:color w:val="000000"/>
      <w:sz w:val="36"/>
      <w:szCs w:val="36"/>
      <w:u w:val="none"/>
    </w:rPr>
  </w:style>
  <w:style w:type="character" w:customStyle="1" w:styleId="141">
    <w:name w:val="font11"/>
    <w:basedOn w:val="41"/>
    <w:qFormat/>
    <w:uiPriority w:val="0"/>
    <w:rPr>
      <w:rFonts w:hint="eastAsia" w:ascii="宋体" w:hAnsi="宋体" w:eastAsia="宋体" w:cs="宋体"/>
      <w:color w:val="000000"/>
      <w:sz w:val="36"/>
      <w:szCs w:val="36"/>
      <w:u w:val="none"/>
    </w:rPr>
  </w:style>
  <w:style w:type="paragraph" w:customStyle="1" w:styleId="142">
    <w:name w:val="lx二级标题"/>
    <w:basedOn w:val="4"/>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38531</Words>
  <Characters>40461</Characters>
  <Lines>335</Lines>
  <Paragraphs>94</Paragraphs>
  <TotalTime>0</TotalTime>
  <ScaleCrop>false</ScaleCrop>
  <LinksUpToDate>false</LinksUpToDate>
  <CharactersWithSpaces>46907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2024-09-14T07:37:28Z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